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15C5" w:rsidRDefault="000615C5" w:rsidP="00FD0F12">
      <w:pPr>
        <w:pStyle w:val="NadpisA"/>
        <w:numPr>
          <w:ilvl w:val="0"/>
          <w:numId w:val="0"/>
        </w:numPr>
        <w:spacing w:before="0" w:line="20" w:lineRule="atLeast"/>
        <w:rPr>
          <w:rFonts w:ascii="Arial" w:hAnsi="Arial" w:cs="Arial"/>
        </w:rPr>
      </w:pPr>
      <w:bookmarkStart w:id="0" w:name="_Toc121714347"/>
      <w:bookmarkStart w:id="1" w:name="_Toc135817819"/>
    </w:p>
    <w:p w:rsidR="00993FB6" w:rsidRPr="00D5050F" w:rsidRDefault="00993FB6" w:rsidP="00993FB6">
      <w:pPr>
        <w:spacing w:line="288" w:lineRule="auto"/>
        <w:ind w:right="23"/>
        <w:jc w:val="both"/>
        <w:rPr>
          <w:rFonts w:ascii="Arial" w:hAnsi="Arial" w:cs="Arial"/>
          <w:b/>
          <w:bCs/>
          <w:color w:val="004391"/>
          <w:sz w:val="32"/>
          <w:szCs w:val="32"/>
        </w:rPr>
      </w:pPr>
      <w:r w:rsidRPr="00D5050F">
        <w:rPr>
          <w:rFonts w:ascii="Arial" w:hAnsi="Arial" w:cs="Arial"/>
          <w:b/>
          <w:bCs/>
          <w:color w:val="004391"/>
          <w:sz w:val="32"/>
          <w:szCs w:val="32"/>
        </w:rPr>
        <w:t xml:space="preserve">Zásady </w:t>
      </w:r>
      <w:r>
        <w:rPr>
          <w:rFonts w:ascii="Arial" w:hAnsi="Arial" w:cs="Arial"/>
          <w:b/>
          <w:bCs/>
          <w:color w:val="004391"/>
          <w:sz w:val="32"/>
          <w:szCs w:val="32"/>
        </w:rPr>
        <w:t>obchodní etiky</w:t>
      </w:r>
    </w:p>
    <w:p w:rsidR="00993FB6" w:rsidRDefault="00993FB6" w:rsidP="00993FB6">
      <w:pPr>
        <w:spacing w:before="120" w:after="40"/>
        <w:rPr>
          <w:rFonts w:ascii="Arial" w:hAnsi="Arial" w:cs="Arial"/>
          <w:b/>
          <w:bCs/>
        </w:rPr>
      </w:pPr>
      <w:r w:rsidRPr="00D5050F">
        <w:rPr>
          <w:rFonts w:ascii="Arial" w:hAnsi="Arial" w:cs="Arial"/>
          <w:b/>
          <w:bCs/>
        </w:rPr>
        <w:t>Datum vydání</w:t>
      </w:r>
      <w:r>
        <w:rPr>
          <w:rFonts w:ascii="Arial" w:hAnsi="Arial" w:cs="Arial"/>
          <w:b/>
          <w:bCs/>
        </w:rPr>
        <w:t>: 16</w:t>
      </w:r>
      <w:r w:rsidRPr="00D5050F">
        <w:rPr>
          <w:rFonts w:ascii="Arial" w:hAnsi="Arial" w:cs="Arial"/>
          <w:b/>
          <w:bCs/>
        </w:rPr>
        <w:t xml:space="preserve">. </w:t>
      </w:r>
      <w:r>
        <w:rPr>
          <w:rFonts w:ascii="Arial" w:hAnsi="Arial" w:cs="Arial"/>
          <w:b/>
          <w:bCs/>
        </w:rPr>
        <w:t>února</w:t>
      </w:r>
      <w:r w:rsidRPr="00D5050F">
        <w:rPr>
          <w:rFonts w:ascii="Arial" w:hAnsi="Arial" w:cs="Arial"/>
          <w:b/>
          <w:bCs/>
        </w:rPr>
        <w:t>,</w:t>
      </w:r>
      <w:r>
        <w:rPr>
          <w:rFonts w:ascii="Arial" w:hAnsi="Arial" w:cs="Arial"/>
          <w:b/>
          <w:bCs/>
        </w:rPr>
        <w:t xml:space="preserve"> 2018</w:t>
      </w:r>
    </w:p>
    <w:p w:rsidR="00723567" w:rsidRPr="00D5050F" w:rsidRDefault="00723567" w:rsidP="00993FB6">
      <w:pPr>
        <w:spacing w:before="120" w:after="40"/>
        <w:rPr>
          <w:rFonts w:ascii="Arial" w:hAnsi="Arial" w:cs="Arial"/>
          <w:b/>
          <w:bCs/>
        </w:rPr>
      </w:pPr>
      <w:r w:rsidRPr="00723567">
        <w:rPr>
          <w:rFonts w:ascii="Arial" w:hAnsi="Arial" w:cs="Arial"/>
          <w:b/>
          <w:bCs/>
        </w:rPr>
        <w:t>Datum aktualizace: 1. dubna, 2021</w:t>
      </w:r>
    </w:p>
    <w:p w:rsidR="00993FB6" w:rsidRPr="00D5050F" w:rsidRDefault="00993FB6" w:rsidP="00993FB6">
      <w:pPr>
        <w:tabs>
          <w:tab w:val="left" w:pos="2123"/>
        </w:tabs>
        <w:spacing w:before="120" w:after="40"/>
        <w:rPr>
          <w:rFonts w:ascii="Arial" w:hAnsi="Arial" w:cs="Arial"/>
          <w:b/>
          <w:bCs/>
        </w:rPr>
      </w:pPr>
      <w:r w:rsidRPr="00D5050F">
        <w:rPr>
          <w:rFonts w:ascii="Arial" w:hAnsi="Arial" w:cs="Arial"/>
          <w:b/>
          <w:bCs/>
        </w:rPr>
        <w:tab/>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Minimální požadavky, jejichž plnění očekáváme od našich dodavatelů, jsme shrnuli do Zásad </w:t>
      </w:r>
      <w:r w:rsidR="0085433D">
        <w:rPr>
          <w:rFonts w:ascii="Arial" w:hAnsi="Arial" w:cs="Arial"/>
        </w:rPr>
        <w:t>obchodní etiky</w:t>
      </w:r>
      <w:r w:rsidR="0085433D" w:rsidRPr="00D5050F">
        <w:rPr>
          <w:rFonts w:ascii="Arial" w:hAnsi="Arial" w:cs="Arial"/>
        </w:rPr>
        <w:t xml:space="preserve"> </w:t>
      </w:r>
      <w:r w:rsidRPr="00D5050F">
        <w:rPr>
          <w:rFonts w:ascii="Arial" w:hAnsi="Arial" w:cs="Arial"/>
        </w:rPr>
        <w:t xml:space="preserve">dodavatelů </w:t>
      </w:r>
      <w:r w:rsidR="00AF7AEF" w:rsidRPr="00AF7AEF">
        <w:rPr>
          <w:rFonts w:ascii="Arial" w:hAnsi="Arial" w:cs="Arial"/>
        </w:rPr>
        <w:t>Asahi Europe International</w:t>
      </w:r>
      <w:r w:rsidR="009279ED">
        <w:rPr>
          <w:rFonts w:ascii="Arial" w:hAnsi="Arial" w:cs="Arial"/>
        </w:rPr>
        <w:t xml:space="preserve"> (AEI)</w:t>
      </w:r>
      <w:r w:rsidRPr="00D5050F">
        <w:rPr>
          <w:rFonts w:ascii="Arial" w:hAnsi="Arial" w:cs="Arial"/>
        </w:rPr>
        <w:t>. Náš přístup k této oblasti nezahrnuje pouze monitorování plnění těchto požadavků, ale rovněž se snažíme pochopit související výzvy, podporovat zlepšování a umožnit dodavatelům, aby přijali svůj díl odpovědnosti v rámci celého hodnotového řetězce. Zároveň bereme v úvahu místní faktory a výzvy, jímž čelí naši dodavatelé v různých částech světa, ve kterých máme své provozy a realizujeme nákup. Minimální standardy stanovené v tomto dokumentu budeme prosazovat prostřednictvím smluv a od našich dodavatelů očekáváme, že budou trvale monitorovat, jak je dodržují nejen oni, ale také jejich dodavatelé.</w:t>
      </w:r>
    </w:p>
    <w:p w:rsidR="00993FB6" w:rsidRPr="00D5050F" w:rsidRDefault="00993FB6" w:rsidP="00993FB6"/>
    <w:p w:rsidR="00993FB6" w:rsidRPr="00D5050F" w:rsidRDefault="00993FB6" w:rsidP="00993FB6"/>
    <w:p w:rsidR="00993FB6" w:rsidRPr="00D5050F" w:rsidRDefault="00993FB6" w:rsidP="00993FB6">
      <w:pPr>
        <w:rPr>
          <w:rFonts w:ascii="Arial" w:hAnsi="Arial" w:cs="Arial"/>
          <w:b/>
          <w:color w:val="004391"/>
          <w:sz w:val="32"/>
        </w:rPr>
      </w:pPr>
      <w:r w:rsidRPr="00D5050F">
        <w:rPr>
          <w:rFonts w:ascii="Arial" w:hAnsi="Arial" w:cs="Arial"/>
          <w:b/>
          <w:color w:val="004391"/>
          <w:sz w:val="32"/>
        </w:rPr>
        <w:t>Rozsah a působnost</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Působnost těchto Zásad</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Zásady chování dodavatelů </w:t>
      </w:r>
      <w:r w:rsidR="00AF7AEF">
        <w:rPr>
          <w:rFonts w:ascii="Arial" w:hAnsi="Arial" w:cs="Arial"/>
        </w:rPr>
        <w:t>AEI</w:t>
      </w:r>
      <w:r>
        <w:rPr>
          <w:rFonts w:ascii="Arial" w:hAnsi="Arial" w:cs="Arial"/>
        </w:rPr>
        <w:t xml:space="preserve"> </w:t>
      </w:r>
      <w:r w:rsidRPr="00D5050F">
        <w:rPr>
          <w:rFonts w:ascii="Arial" w:hAnsi="Arial" w:cs="Arial"/>
        </w:rPr>
        <w:t>definují povinné minimální standardy, jejichž dodržování vyžadujeme od našich dodavatelů při veškeré výrobě materiálů (suro</w:t>
      </w:r>
      <w:r>
        <w:rPr>
          <w:rFonts w:ascii="Arial" w:hAnsi="Arial" w:cs="Arial"/>
        </w:rPr>
        <w:t xml:space="preserve">vin) a realizaci služeb pro </w:t>
      </w:r>
      <w:r w:rsidR="00AF7AEF">
        <w:rPr>
          <w:rFonts w:ascii="Arial" w:hAnsi="Arial" w:cs="Arial"/>
        </w:rPr>
        <w:t>AEI</w:t>
      </w:r>
      <w:r w:rsidRPr="00D5050F">
        <w:rPr>
          <w:rFonts w:ascii="Arial" w:hAnsi="Arial" w:cs="Arial"/>
        </w:rPr>
        <w:t>. Nebrání našim dodavatelům, aby uplatňovali i vyšší standardy než zde uvedené. Od dodavatelů uplatňujících tyto Zásady očekáváme, že budou dodržovat legislativu své země a ostatní příslušné zákony. V případě, že stejnou oblast upravuje některé ustanovení těchto Zásad a zároveň ustanovení zákona, bude uplatněno to ustanovení, které skýtá větší ochranu.</w:t>
      </w:r>
    </w:p>
    <w:p w:rsidR="00993FB6" w:rsidRPr="00D5050F" w:rsidRDefault="00993FB6" w:rsidP="00993FB6"/>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b/>
          <w:color w:val="004391"/>
        </w:rPr>
      </w:pPr>
      <w:r w:rsidRPr="00D5050F">
        <w:rPr>
          <w:rFonts w:ascii="Arial" w:hAnsi="Arial" w:cs="Arial"/>
          <w:b/>
          <w:color w:val="004391"/>
        </w:rPr>
        <w:t>Prosazování Zásad chování dodavatelů v celém dodavatelském řetězci</w:t>
      </w:r>
    </w:p>
    <w:p w:rsidR="00993FB6" w:rsidRPr="00D5050F" w:rsidRDefault="00993FB6" w:rsidP="00993FB6">
      <w:pPr>
        <w:jc w:val="both"/>
        <w:rPr>
          <w:rFonts w:ascii="Arial" w:hAnsi="Arial" w:cs="Arial"/>
        </w:rPr>
      </w:pPr>
    </w:p>
    <w:p w:rsidR="00993FB6" w:rsidRPr="00D5050F" w:rsidRDefault="00993FB6" w:rsidP="00993FB6">
      <w:pPr>
        <w:jc w:val="both"/>
      </w:pPr>
      <w:r w:rsidRPr="00D5050F">
        <w:rPr>
          <w:rFonts w:ascii="Arial" w:hAnsi="Arial" w:cs="Arial"/>
        </w:rPr>
        <w:t xml:space="preserve">Od smluvních dodavatelů </w:t>
      </w:r>
      <w:r w:rsidR="00AF7AEF">
        <w:rPr>
          <w:rFonts w:ascii="Arial" w:hAnsi="Arial" w:cs="Arial"/>
        </w:rPr>
        <w:t>AEI</w:t>
      </w:r>
      <w:r>
        <w:rPr>
          <w:rFonts w:ascii="Arial" w:hAnsi="Arial" w:cs="Arial"/>
        </w:rPr>
        <w:t xml:space="preserve"> </w:t>
      </w:r>
      <w:r w:rsidRPr="00D5050F">
        <w:rPr>
          <w:rFonts w:ascii="Arial" w:hAnsi="Arial" w:cs="Arial"/>
        </w:rPr>
        <w:t xml:space="preserve">očekáváme, že budou zde uvedené principy prosazovat v rámci svého vlastního dodavatelského řetězce a zajistí jejich dodržování. Pokud jsou těmito dodavateli obchodníci nebo zprostředkovatelské firmy, pak musí zajistit, že výrobci a zemědělci, kteří jsou jejich dodavateli, budou kompletně seznámeni s těmito principy a uvedenými ustanoveními, jejich významem a dopady na jejich výrobní či zemědělskou praxi. </w:t>
      </w:r>
    </w:p>
    <w:p w:rsidR="00993FB6" w:rsidRPr="00D5050F" w:rsidRDefault="00993FB6" w:rsidP="00993FB6"/>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Prokázání dodržování těchto Zásad</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Předpokladem uzavření jakékoliv smlouvy o dodávkách společnosti </w:t>
      </w:r>
      <w:r w:rsidR="00AF7AEF">
        <w:rPr>
          <w:rFonts w:ascii="Arial" w:hAnsi="Arial" w:cs="Arial"/>
        </w:rPr>
        <w:t>AEI</w:t>
      </w:r>
      <w:r>
        <w:rPr>
          <w:rFonts w:ascii="Arial" w:hAnsi="Arial" w:cs="Arial"/>
        </w:rPr>
        <w:t xml:space="preserve"> </w:t>
      </w:r>
      <w:r w:rsidRPr="00D5050F">
        <w:rPr>
          <w:rFonts w:ascii="Arial" w:hAnsi="Arial" w:cs="Arial"/>
        </w:rPr>
        <w:t xml:space="preserve">je přijetí těchto Zásad. Podpisem smlouvy a přijetím nákupní objednávky se dodavatel zavazuje, že pro jeho provozy budou platit ustanovení uvedená v těchto Zásadách. Dodavatelé musí být schopni na vyžádání prokázat dodržování těchto zásad ke spokojenosti </w:t>
      </w:r>
      <w:r w:rsidR="00AF7AEF">
        <w:rPr>
          <w:rFonts w:ascii="Arial" w:hAnsi="Arial" w:cs="Arial"/>
        </w:rPr>
        <w:t>AEI</w:t>
      </w:r>
      <w:r w:rsidRPr="00D5050F">
        <w:rPr>
          <w:rFonts w:ascii="Arial" w:hAnsi="Arial" w:cs="Arial"/>
        </w:rPr>
        <w:t xml:space="preserve">. Společnost </w:t>
      </w:r>
      <w:r w:rsidR="00AF7AEF">
        <w:rPr>
          <w:rFonts w:ascii="Arial" w:hAnsi="Arial" w:cs="Arial"/>
        </w:rPr>
        <w:t>AEI</w:t>
      </w:r>
      <w:r>
        <w:rPr>
          <w:rFonts w:ascii="Arial" w:hAnsi="Arial" w:cs="Arial"/>
        </w:rPr>
        <w:t xml:space="preserve"> </w:t>
      </w:r>
      <w:r w:rsidRPr="00D5050F">
        <w:rPr>
          <w:rFonts w:ascii="Arial" w:hAnsi="Arial" w:cs="Arial"/>
        </w:rPr>
        <w:t xml:space="preserve">má právo využít služeb nezávislých auditorů za účelem posouzení dodržování těchto Zásad ze strany dodavatelů. Tyto hodnotící audity obecně zahrnují setkání s vedením společnosti dodavatele, prohlídku provozu, důvěrné rozhovory se zaměstnanci na pracovišti a kontrolu dokumentace. V případě, že se společnost </w:t>
      </w:r>
      <w:r w:rsidR="00AF7AEF">
        <w:rPr>
          <w:rFonts w:ascii="Arial" w:hAnsi="Arial" w:cs="Arial"/>
        </w:rPr>
        <w:t>AEI</w:t>
      </w:r>
      <w:r>
        <w:rPr>
          <w:rFonts w:ascii="Arial" w:hAnsi="Arial" w:cs="Arial"/>
        </w:rPr>
        <w:t xml:space="preserve"> </w:t>
      </w:r>
      <w:r w:rsidRPr="00D5050F">
        <w:rPr>
          <w:rFonts w:ascii="Arial" w:hAnsi="Arial" w:cs="Arial"/>
        </w:rPr>
        <w:t xml:space="preserve">dozví o jakýchkoliv aktivitách nebo podmínkách, které jsou v rozporu se Zásadami, </w:t>
      </w:r>
      <w:r w:rsidR="00AF7AEF">
        <w:rPr>
          <w:rFonts w:ascii="Arial" w:hAnsi="Arial" w:cs="Arial"/>
        </w:rPr>
        <w:t>AEI</w:t>
      </w:r>
      <w:r>
        <w:rPr>
          <w:rFonts w:ascii="Arial" w:hAnsi="Arial" w:cs="Arial"/>
        </w:rPr>
        <w:t xml:space="preserve"> </w:t>
      </w:r>
      <w:r w:rsidRPr="00D5050F">
        <w:rPr>
          <w:rFonts w:ascii="Arial" w:hAnsi="Arial" w:cs="Arial"/>
        </w:rPr>
        <w:t xml:space="preserve">bude vyžadovat zavedení nápravných opatření. Při uzavírání smluv s obchodními či zprostředkovatelskými firmami může společnost </w:t>
      </w:r>
      <w:r w:rsidR="00AF7AEF">
        <w:rPr>
          <w:rFonts w:ascii="Arial" w:hAnsi="Arial" w:cs="Arial"/>
        </w:rPr>
        <w:t>AEI</w:t>
      </w:r>
      <w:r>
        <w:rPr>
          <w:rFonts w:ascii="Arial" w:hAnsi="Arial" w:cs="Arial"/>
        </w:rPr>
        <w:t xml:space="preserve"> </w:t>
      </w:r>
      <w:r w:rsidRPr="00D5050F">
        <w:rPr>
          <w:rFonts w:ascii="Arial" w:hAnsi="Arial" w:cs="Arial"/>
        </w:rPr>
        <w:t xml:space="preserve">požadovat, aby proběhlo posouzení dodržování těchto Zásad i ze strany jejich dodavatelů (výrobců a zemědělců). Společnost </w:t>
      </w:r>
      <w:r w:rsidR="00AF7AEF">
        <w:rPr>
          <w:rFonts w:ascii="Arial" w:hAnsi="Arial" w:cs="Arial"/>
        </w:rPr>
        <w:t>AEI</w:t>
      </w:r>
      <w:r>
        <w:rPr>
          <w:rFonts w:ascii="Arial" w:hAnsi="Arial" w:cs="Arial"/>
        </w:rPr>
        <w:t xml:space="preserve"> </w:t>
      </w:r>
      <w:r w:rsidRPr="00D5050F">
        <w:rPr>
          <w:rFonts w:ascii="Arial" w:hAnsi="Arial" w:cs="Arial"/>
        </w:rPr>
        <w:t>si vyhrazuje právo ukončit smlouvu s každým dodavatelem, který nebude schopen prokázat, že on sám Zásady dodržuje a podniká kroky, aby je dodržovali i jeho vlastní dodavatelé.</w:t>
      </w:r>
    </w:p>
    <w:p w:rsidR="00993FB6" w:rsidRPr="00D5050F" w:rsidRDefault="00993FB6" w:rsidP="00993FB6"/>
    <w:p w:rsidR="00993FB6" w:rsidRPr="00D5050F" w:rsidRDefault="00993FB6" w:rsidP="00993FB6"/>
    <w:p w:rsidR="00993FB6" w:rsidRPr="00D5050F" w:rsidRDefault="00993FB6" w:rsidP="00993FB6">
      <w:pPr>
        <w:rPr>
          <w:rFonts w:ascii="Arial" w:hAnsi="Arial" w:cs="Arial"/>
          <w:b/>
          <w:color w:val="004391"/>
          <w:sz w:val="32"/>
        </w:rPr>
      </w:pPr>
    </w:p>
    <w:p w:rsidR="00993FB6" w:rsidRPr="00D5050F" w:rsidRDefault="00993FB6" w:rsidP="00993FB6">
      <w:pPr>
        <w:rPr>
          <w:rFonts w:ascii="Arial" w:hAnsi="Arial" w:cs="Arial"/>
          <w:b/>
          <w:color w:val="004391"/>
          <w:sz w:val="32"/>
        </w:rPr>
      </w:pPr>
      <w:r w:rsidRPr="00D5050F">
        <w:rPr>
          <w:rFonts w:ascii="Arial" w:hAnsi="Arial" w:cs="Arial"/>
          <w:b/>
          <w:color w:val="004391"/>
          <w:sz w:val="32"/>
        </w:rPr>
        <w:t>Lidská práva a pracovní standardy</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Společnost </w:t>
      </w:r>
      <w:r w:rsidR="00AF7AEF">
        <w:rPr>
          <w:rFonts w:ascii="Arial" w:hAnsi="Arial" w:cs="Arial"/>
        </w:rPr>
        <w:t>AEI</w:t>
      </w:r>
      <w:r>
        <w:rPr>
          <w:rFonts w:ascii="Arial" w:hAnsi="Arial" w:cs="Arial"/>
        </w:rPr>
        <w:t xml:space="preserve"> </w:t>
      </w:r>
      <w:r w:rsidRPr="00D5050F">
        <w:rPr>
          <w:rFonts w:ascii="Arial" w:hAnsi="Arial" w:cs="Arial"/>
        </w:rPr>
        <w:t>se zavazuje respektovat mezinárodně uznávaná lidská práva stanovená v Mezinárodní listině lidských práv (stávající ze Všeobecné deklarace lidských práv, Mezinárodního paktu o občanských a politických právech a Mezinárodního paktu o hospodářských, sociálních a kulturních právech) a principy týkající se základních práv stanovených v Prohlášení Mezinárodní organizace práce o základních principech a právech v práci.</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Náš postoj vychází ze Směrnic OECD pro nadnárodní společnosti, Zásad OSN pro posilování postavení žen a Tripartitní deklarace Mezinárodní organizace práce o zásadách pro nadnárodní společnosti a sociální politiku.</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rPr>
      </w:pPr>
      <w:r w:rsidRPr="00D5050F">
        <w:rPr>
          <w:rFonts w:ascii="Arial" w:hAnsi="Arial" w:cs="Arial"/>
        </w:rPr>
        <w:t>Vybízíme naše dodavatele k tomu, aby rovněž přijali tyto mezinárodní normy, a očekáváme, že budou dodržovat lidská práva svých zaměstnanců na pracovištích a prosazovat lidská práva v rámci svých hodnotových řetězců. Principy, které mají být uplatňovány u zaměstnanců, se rovněž vztahují na smluvní pracovníky i pracovníky bez oficiální pracovní smlouvy.</w:t>
      </w:r>
    </w:p>
    <w:p w:rsidR="00993FB6" w:rsidRPr="00D5050F" w:rsidRDefault="00993FB6" w:rsidP="00993FB6">
      <w:pPr>
        <w:jc w:val="both"/>
        <w:rPr>
          <w:rFonts w:ascii="Arial" w:hAnsi="Arial" w:cs="Arial"/>
        </w:rPr>
      </w:pP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Svoboda sdružování a uznávání práva na kolektivní vyjednávání</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musí respektovat právo svých zaměstnanců zvolit si, zda se chtějí či nechtějí sdružovat v rámci zákonem uznaného odborového svazu, a to bez obav ze zastrašování, odvetných opatření nebo vnějšího tlaku.</w:t>
      </w:r>
    </w:p>
    <w:p w:rsidR="00993FB6" w:rsidRPr="00D5050F" w:rsidRDefault="00993FB6" w:rsidP="00993FB6">
      <w:pPr>
        <w:jc w:val="both"/>
        <w:rPr>
          <w:rFonts w:ascii="Arial" w:hAnsi="Arial" w:cs="Arial"/>
        </w:rPr>
      </w:pPr>
    </w:p>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V případě, že jsou zaměstnanci zastupováni dostatečně reprezentativní odborovou organizací, dodavatel naváže upřímný dialog se svobodně zvolenými zástupci zaměstnanců, aby umožnil zaměstnancům i vedení společnosti vzájemně porozumět svým zájmům a obavám a našel způsoby, jak je řešit.</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Pokud jsou svoboda sdružování a právo na kolektivní vyjednávání v rozporu s mezinárodními lidskoprávními standardy omezeny zákonem, dodavatel má za povinnost hledat cesty, jak tato práva dodržovat tím, že naváže alternativní způsob, jak vést dialog se svými zaměstnanci. Dodavatelé by se měli v dobré víře zapojit do procesu kolektivního vyjednávání a ocenit hodnotu budování a udržování harmonických pracovních vztahů.</w:t>
      </w:r>
    </w:p>
    <w:p w:rsidR="00993FB6" w:rsidRPr="00D5050F" w:rsidRDefault="00993FB6" w:rsidP="00993FB6"/>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Zákaz nucené a povinné práce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musí zakázat a nesmí mít jakýkoliv užitek z otroctví, ať už ve formě nucené nebo povinné práce, práce vykonávané vězni, nevolnické práce, práce na dlužní smlouvu, otrocké práce nebo jakékoliv jiné nedobrovolné práce. Dodavatelé také musí zakázat obchodování s lidmi, včetně zařizování nebo usnadnění cestování osob s výhledem, že tyto osoby budou vykořisťovány.</w:t>
      </w:r>
    </w:p>
    <w:p w:rsidR="00993FB6" w:rsidRPr="00D5050F" w:rsidRDefault="00993FB6" w:rsidP="00993FB6">
      <w:pPr>
        <w:jc w:val="both"/>
        <w:rPr>
          <w:rFonts w:ascii="Arial" w:hAnsi="Arial" w:cs="Arial"/>
        </w:rPr>
      </w:pP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musí mít zavedeny vhodné a účinné systémy, prostřednictvím kterých zajistí dodržování zákona. Po pracovnících se nesmí vyžadovat náborové poplatky a</w:t>
      </w:r>
      <w:r>
        <w:rPr>
          <w:rFonts w:ascii="Arial" w:hAnsi="Arial" w:cs="Arial"/>
        </w:rPr>
        <w:t xml:space="preserve"> kauce </w:t>
      </w:r>
      <w:r w:rsidRPr="00D5050F">
        <w:rPr>
          <w:rFonts w:ascii="Arial" w:hAnsi="Arial" w:cs="Arial"/>
        </w:rPr>
        <w:t>nebo aby odevzdali své doklady totožnosti, a pracovníci musí mít možnost odejít ze zaměstnání po přiměřené výpovědní době. Nepřípustné jsou programy pro nepřiměřené splácení půjček, které by pracovníky znevýhodňovaly. Práce by měla být v maximální možné míře vykonávána na základě uznávaného zaměstnaneckého poměru uzavřeného podle legislativy a praxe příslušné země. Pracovníci mají právo odejít ze zaměstnání za předpokladu dodržení přiměřené výpovědní doby a opustit pracoviště po skončení jejich pracovní směny. Pracovníci si mohou svobodně zvolit své vlastní ubytování a nemají povinnost přijmout a platit za ubytování poskytnuté zaměstnavatelem.</w:t>
      </w:r>
    </w:p>
    <w:p w:rsidR="00993FB6" w:rsidRPr="00D5050F" w:rsidRDefault="00993FB6" w:rsidP="00993FB6">
      <w:pPr>
        <w:jc w:val="both"/>
        <w:rPr>
          <w:rFonts w:ascii="Arial" w:hAnsi="Arial" w:cs="Arial"/>
        </w:rPr>
      </w:pP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Zákaz dětské práce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musí striktně zakázat dětskou práci. Mezinárodní organizace práce vymezuje dětskou práci jako práci, která je pro děti duševně, tělesně, společensky nebo morálně závadná, nebo práce, která je překážkou v jejich vzdělávání.</w:t>
      </w:r>
    </w:p>
    <w:p w:rsidR="00993FB6" w:rsidRPr="00D5050F" w:rsidRDefault="00993FB6" w:rsidP="00993FB6">
      <w:pPr>
        <w:jc w:val="both"/>
        <w:rPr>
          <w:rFonts w:ascii="Arial" w:hAnsi="Arial" w:cs="Arial"/>
        </w:rPr>
      </w:pP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Dodavatelé musí dodržovat ustanovení o minimální věkové hranici pro </w:t>
      </w:r>
      <w:r>
        <w:rPr>
          <w:rFonts w:ascii="Arial" w:hAnsi="Arial" w:cs="Arial"/>
        </w:rPr>
        <w:t>vstup do zaměst</w:t>
      </w:r>
      <w:r w:rsidRPr="00D5050F">
        <w:rPr>
          <w:rFonts w:ascii="Arial" w:hAnsi="Arial" w:cs="Arial"/>
        </w:rPr>
        <w:t>nání, která jsou definována v pracovně-právních předpisech a zákonech příslušné země, a v případě nedostatečné ochrany ze strany národní legislativy uplatnit mezinárodní normy. Osoby mladší 18 let nesmí být zařazeni na noční směny nebo vykonávat práci v nebezpečných podmínkách. Dodavatelé dále musí uplatňovat adekvátní a doložitelné mechanismy pro ověření věku v rámci náborového procesu.</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rPr>
      </w:pPr>
      <w:r w:rsidRPr="00D5050F">
        <w:rPr>
          <w:rFonts w:ascii="Arial" w:hAnsi="Arial" w:cs="Arial"/>
        </w:rPr>
        <w:t>Jsme si vědomi, že mladí lidé, kteří ještě nedosáhli věku 18 let, mají nárok pracovat v bezpečném prostředí, jak stanovuje konvence Mezinárodní organizace práce a národní pracovně-právní legislativa. Uznáváme, že určitá míra zapojení mladých lidí do 18 let věku může být pro jejich rodinu důležitá a může pozitivně přispět k rozvoji jejich dovedností. Zaměstnávání mladistvých je přípustné pouze za předpokladu, že se tak děje v souladu s požadavky Mezinárodní organizace práce a místních zákonů, a že jsou podniknuty přiměřené kroky k prevenci negativních dopadů této práce na jejich zdraví, osobní rozvoj a vzdělávání.</w:t>
      </w:r>
    </w:p>
    <w:p w:rsidR="00993FB6" w:rsidRPr="00D5050F" w:rsidRDefault="00993FB6" w:rsidP="00993FB6">
      <w:pPr>
        <w:jc w:val="both"/>
        <w:rPr>
          <w:rFonts w:ascii="Arial" w:hAnsi="Arial" w:cs="Arial"/>
        </w:rPr>
      </w:pPr>
    </w:p>
    <w:p w:rsidR="00993FB6" w:rsidRPr="00D5050F" w:rsidRDefault="00993FB6" w:rsidP="00993FB6"/>
    <w:p w:rsidR="00993FB6" w:rsidRPr="00D5050F" w:rsidRDefault="00993FB6" w:rsidP="00993FB6">
      <w:r w:rsidRPr="00D5050F">
        <w:rPr>
          <w:rFonts w:ascii="Arial" w:hAnsi="Arial" w:cs="Arial"/>
          <w:b/>
          <w:color w:val="004391"/>
        </w:rPr>
        <w:t>Nulová tolerance diskriminace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jsou povinni vytvořit inkluzivní pracovní prostředí, ve kterém nejsou zaměstnanci diskriminováni kvůli své rase, pohlaví, barvě pleti, etnickému původu či příslušnosti ke společenské skupině (kastě), národnosti, náboženskému vyznání, věku, zdravotnímu postižení, rodinnému stavu, sexuální orientaci, zaměstnaneckému statusu, počtu dětí, změně pohlaví, těhotenství nebo mateřské dovolené, politickým názorům, členství v odborové organizaci, společenskému původu, onemocnění HIV/Aids či z jakýchkoliv jiných důvodů.</w:t>
      </w:r>
    </w:p>
    <w:p w:rsidR="00993FB6" w:rsidRPr="00D5050F" w:rsidRDefault="00993FB6" w:rsidP="00993FB6">
      <w:pPr>
        <w:jc w:val="both"/>
        <w:rPr>
          <w:rFonts w:ascii="Arial" w:hAnsi="Arial" w:cs="Arial"/>
        </w:rPr>
      </w:pPr>
    </w:p>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pPr>
      <w:r w:rsidRPr="00D5050F">
        <w:rPr>
          <w:rFonts w:ascii="Arial" w:hAnsi="Arial" w:cs="Arial"/>
        </w:rPr>
        <w:t>Dodavatelé by se neměli dopouštět diskriminace z kteréhokoliv z výše uvedených důvodů při rozhodování o náboru zaměstnanců, jejich odměňování, jejich přístupu ke školení, postupu v zaměstnání nebo ukončení pracovního poměru. Nábor, pracovní zařazení, školení a kariérní postup by se měly zakládat na kvalifikaci, kompetentnosti a zkušenostech pracovníků.</w:t>
      </w:r>
    </w:p>
    <w:p w:rsidR="00993FB6" w:rsidRPr="00D5050F" w:rsidRDefault="00993FB6" w:rsidP="00993FB6"/>
    <w:p w:rsidR="00993FB6" w:rsidRPr="00D5050F" w:rsidRDefault="00993FB6" w:rsidP="00993FB6"/>
    <w:p w:rsidR="00993FB6" w:rsidRPr="00D5050F" w:rsidRDefault="00993FB6" w:rsidP="00993FB6">
      <w:r w:rsidRPr="00D5050F">
        <w:rPr>
          <w:rFonts w:ascii="Arial" w:hAnsi="Arial" w:cs="Arial"/>
          <w:b/>
          <w:color w:val="004391"/>
        </w:rPr>
        <w:t>Se zaměstnanci zacházíme s důstojností a respektem</w:t>
      </w:r>
    </w:p>
    <w:p w:rsidR="00993FB6" w:rsidRPr="00D5050F" w:rsidRDefault="00993FB6" w:rsidP="00993FB6"/>
    <w:p w:rsidR="00993FB6" w:rsidRPr="00D5050F" w:rsidRDefault="00993FB6" w:rsidP="00993FB6">
      <w:pPr>
        <w:jc w:val="both"/>
      </w:pPr>
      <w:r w:rsidRPr="00D5050F">
        <w:rPr>
          <w:rFonts w:ascii="Arial" w:hAnsi="Arial" w:cs="Arial"/>
        </w:rPr>
        <w:t>Dodavatelé by neměli dovolit jakékoliv hrubé nebo nelidské zacházení se zaměstnanci. Dodavatel by měl zajistit, že se všemi zaměstnanci je zacházeno důstojně a s respektem.</w:t>
      </w:r>
    </w:p>
    <w:p w:rsidR="00993FB6" w:rsidRPr="00D5050F" w:rsidRDefault="00993FB6" w:rsidP="00993FB6"/>
    <w:p w:rsidR="00993FB6" w:rsidRPr="00D5050F" w:rsidRDefault="00993FB6" w:rsidP="00993FB6">
      <w:pPr>
        <w:jc w:val="both"/>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Fyzické, duševní nebo citové zneužívání, tresty, hrozba fyzického násilí, sexuální nebo jiné obtěžování, verbální zneužívání a všechny formy zastrašování nebo nelidského či ponižujícího chování by měly být dodavatelem zakázány.</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Stanovení spravedlivé a konkurenceschopné mzdy a pracovní doby</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jsou povinni zaměstnancům poskytnout spravedlivou odměnu za práci a zaměstnanecké výhody, které odpovídají legislativním požadavkům na minimální mzdu a dalším příslušným zákonům týkajícím se odměňování a pracovní doby, popř. kolektivním smlouvám.</w:t>
      </w: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V zemích, kde zákonem daná minimální mzda nezaručuje slušný životní standard pro pracovníka a jeho rodinu, by měl dodavatel vyplácet takovou mzdu, která zaručí alespoň uspokojení základních potřeb pracovníků a jejich rodin. Před vznikem pracovního poměru by všichni pracovníci měli dostat srozumitelné informace o jejich pracovních podmínkách. Musí jim být poskytnuty jasné a srozumitelné informace o způsobu výpočtu jejich mzdy pokaždé, když dostávají výplatu. Není dovoleno provádět srážky ze mzdy z disciplinárních důvodů, stejně tak není dovoleno provádět jakékoliv srážky, které nevyplývají z místní legislativy, bez výslovného souhlasu daného pracovníka. O všech disciplinárních opatřeních by měly být vedeny záznamy. Dodavatelé by měli zajistit, že nastavení pracovní doby odpovídá zákonům dané země, resp. srovnatelným standardům odvětví, ve kterém podnikají, podle toho, která z těchto dvou oblastí pracovníkům skýtá větší ochranu. V každém případě by po zaměstnancích nemělo být požadováno, aby jejich pravidelná pracovní doba přesahovala 60 hodin týdně, pokud pro to neexistují výjimečné důvody (mezi tyto důvody nepatří předvídatelné sezónní výkyvy). Pracovníkům musí být poskytnut alespoň jeden den volna v rámci každých 7 dnů. Práce přesčas musí být dobrovolná a musí být honorována příplatkem.</w:t>
      </w:r>
    </w:p>
    <w:p w:rsidR="00993FB6" w:rsidRPr="00D5050F" w:rsidRDefault="00993FB6" w:rsidP="00993FB6"/>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Právo na vlastnictví půdy</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se musí řídit zákony příslušného státu týkající se práv na vlastnictví půdy a využívání národních zdrojů. Získávání půdy by mělo probíhat s respektem vůči právům dotčených jednotlivců a komunit.</w:t>
      </w: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zemědělských surovin, kteří vlastní, nabývají nebo ovládají půdu a pozemky, jsou povinni respektovat právo na vlastnictví půdy tím, že: (a) prokážou legální nebo zvykové vlastnictví půdy nebo právo na její využívání; (b) získají předem dobrovolný a poučený souhlas všech dotčených skupin obyvatelstva před nabytím či hospodářským rozvojem pozemku; (c) zavedou mechanismus pro uplatňování stížností a řešení jakýchkoliv sporů ohledně vlastnictví půdy.</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Mechanismus pro uplatňování stížností</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musí mít zavedeny systémy umožňující anonymní podávání stížností ze strany pracovníků. Cílem mechanismu pro uplatňování stížností by mělo být pochopení a napravení případných chyb a zmírnění jakýchkoliv negativních dopadů.</w:t>
      </w: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pPr>
      <w:r w:rsidRPr="00D5050F">
        <w:rPr>
          <w:rFonts w:ascii="Arial" w:hAnsi="Arial" w:cs="Arial"/>
        </w:rPr>
        <w:t>Dodavatelé by měli vybudovat mechanismus pro podávání a řešení stížností, který umožní všem pracovníkům vznášet dotazy a obavy svému vedení jednoduchým způsobem a bez strachu z negativních dopadů. Tento mechanismus by měl umožňovat lidem důvěrně hlásit problémy, které budou řešeny včas. Dodavatelé by měli zajistit, že pracovníci rozumí, jak mechanismus pro podávání stížností funguje a vysvětlit jim proces řešení nahlášených problémů. Je nutno kontinuálně monitorovat mechanismy pro uplatňování stížností a vést evidenci o nahlášených problémech a vhodných opatřeních, které byly přijaty na jejich nápravu.</w:t>
      </w:r>
    </w:p>
    <w:p w:rsidR="00993FB6" w:rsidRPr="00D5050F" w:rsidRDefault="00993FB6" w:rsidP="00993FB6"/>
    <w:p w:rsidR="00993FB6" w:rsidRPr="00D5050F" w:rsidRDefault="00993FB6" w:rsidP="00993FB6"/>
    <w:p w:rsidR="00993FB6" w:rsidRPr="00D5050F" w:rsidRDefault="00993FB6" w:rsidP="00993FB6">
      <w:pPr>
        <w:rPr>
          <w:rFonts w:ascii="Arial" w:hAnsi="Arial" w:cs="Arial"/>
          <w:b/>
          <w:color w:val="004391"/>
          <w:sz w:val="28"/>
        </w:rPr>
      </w:pPr>
      <w:r w:rsidRPr="00D5050F">
        <w:rPr>
          <w:rFonts w:ascii="Arial" w:hAnsi="Arial" w:cs="Arial"/>
          <w:b/>
          <w:color w:val="004391"/>
          <w:sz w:val="28"/>
        </w:rPr>
        <w:t>Bezpečnost a ochrana zdraví</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Společnost </w:t>
      </w:r>
      <w:r w:rsidR="00AF7AEF">
        <w:rPr>
          <w:rFonts w:ascii="Arial" w:hAnsi="Arial" w:cs="Arial"/>
        </w:rPr>
        <w:t>AEI</w:t>
      </w:r>
      <w:r>
        <w:rPr>
          <w:rFonts w:ascii="Arial" w:hAnsi="Arial" w:cs="Arial"/>
        </w:rPr>
        <w:t xml:space="preserve"> </w:t>
      </w:r>
      <w:r w:rsidRPr="00D5050F">
        <w:rPr>
          <w:rFonts w:ascii="Arial" w:hAnsi="Arial" w:cs="Arial"/>
        </w:rPr>
        <w:t xml:space="preserve">očekává od svých dodavatelů, že svým zaměstnancům zajistí bezpečné a zdravotně </w:t>
      </w:r>
      <w:r w:rsidR="00053A5C" w:rsidRPr="00D5050F">
        <w:rPr>
          <w:rFonts w:ascii="Arial" w:hAnsi="Arial" w:cs="Arial"/>
        </w:rPr>
        <w:t>nezávadné pracovní</w:t>
      </w:r>
      <w:r w:rsidRPr="00D5050F">
        <w:rPr>
          <w:rFonts w:ascii="Arial" w:hAnsi="Arial" w:cs="Arial"/>
        </w:rPr>
        <w:t xml:space="preserve"> prostředí.</w:t>
      </w:r>
    </w:p>
    <w:p w:rsidR="00993FB6" w:rsidRPr="00D5050F" w:rsidRDefault="00993FB6" w:rsidP="00993FB6"/>
    <w:p w:rsidR="00993FB6" w:rsidRPr="00D5050F" w:rsidRDefault="00993FB6" w:rsidP="00993FB6"/>
    <w:p w:rsidR="00993FB6" w:rsidRPr="00D5050F" w:rsidRDefault="00993FB6" w:rsidP="00993FB6">
      <w:r w:rsidRPr="00D5050F">
        <w:rPr>
          <w:rFonts w:ascii="Arial" w:hAnsi="Arial" w:cs="Arial"/>
          <w:b/>
          <w:color w:val="004391"/>
        </w:rPr>
        <w:t>Pracovní podmínky</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Minimálním požadavkem je, a</w:t>
      </w:r>
      <w:r>
        <w:rPr>
          <w:rFonts w:ascii="Arial" w:hAnsi="Arial" w:cs="Arial"/>
        </w:rPr>
        <w:t>by směrnice a postupy dodavatel</w:t>
      </w:r>
      <w:r w:rsidRPr="00D5050F">
        <w:rPr>
          <w:rFonts w:ascii="Arial" w:hAnsi="Arial" w:cs="Arial"/>
        </w:rPr>
        <w:t>ů vztahující se k bezpečnosti a ochraně zdraví splňovaly zákonné požadavky. V případě, že tyto neexistují, musí dodavatelé zajistit minimalizaci rizika nehod, úrazů a vystavení pracovníků zdravotním rizikům tím, že uplatní obecně přijímané poznatky platné pro jejich odvětví.</w:t>
      </w: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Provozní zařízení dodavatele musí být konstruováno a udržováno dle norem stanovených příslušnými zákony a předpisy. Zaměstnanci musí absolvovat pravidelná a evidovaná školení bezpečnosti práce a tato školení musí být opakována pro nové nebo přeřazené zaměstnance. Musí jim být poskytována pitná voda, osobní ochranné pomůcky a prostředky, vhodné osvětlení, hygiena a odvětrávání.</w:t>
      </w: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Bezpečné a důstojné ubytování</w:t>
      </w:r>
    </w:p>
    <w:p w:rsidR="00993FB6" w:rsidRPr="00D5050F" w:rsidRDefault="00993FB6" w:rsidP="00993FB6">
      <w:pPr>
        <w:jc w:val="both"/>
        <w:rPr>
          <w:rFonts w:ascii="Arial" w:hAnsi="Arial" w:cs="Arial"/>
        </w:rPr>
      </w:pPr>
      <w:r w:rsidRPr="00D5050F">
        <w:rPr>
          <w:rFonts w:ascii="Arial" w:hAnsi="Arial" w:cs="Arial"/>
        </w:rPr>
        <w:t>V případě, že dodavatel poskytuje svým zaměstnancům ubytování, musí být tito ubytováni v čistém a bezpečném prostředí splňujícím základní potřeby zaměstnanců.</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b/>
        </w:rPr>
      </w:pPr>
      <w:r w:rsidRPr="00D5050F">
        <w:rPr>
          <w:rFonts w:ascii="Arial" w:hAnsi="Arial" w:cs="Arial"/>
          <w:b/>
        </w:rPr>
        <w:t>Instrukce:</w:t>
      </w:r>
    </w:p>
    <w:p w:rsidR="00993FB6" w:rsidRPr="00D5050F" w:rsidRDefault="00993FB6" w:rsidP="00993FB6">
      <w:pPr>
        <w:jc w:val="both"/>
        <w:rPr>
          <w:rFonts w:ascii="Arial" w:hAnsi="Arial" w:cs="Arial"/>
        </w:rPr>
      </w:pPr>
      <w:r w:rsidRPr="00D5050F">
        <w:rPr>
          <w:rFonts w:ascii="Arial" w:hAnsi="Arial" w:cs="Arial"/>
        </w:rPr>
        <w:t>Zaměstnancům by měl být umožněn volný vstup do uby</w:t>
      </w:r>
      <w:r>
        <w:rPr>
          <w:rFonts w:ascii="Arial" w:hAnsi="Arial" w:cs="Arial"/>
        </w:rPr>
        <w:t>tovacího zařízení a volný odchod</w:t>
      </w:r>
      <w:r w:rsidRPr="00D5050F">
        <w:rPr>
          <w:rFonts w:ascii="Arial" w:hAnsi="Arial" w:cs="Arial"/>
        </w:rPr>
        <w:t xml:space="preserve"> z něj. Toto zařízení musí být konstruováno a udržováno dle norem stanovených příslušnými zákony a předpisy. Ubytování musí být odděleno od výrobní části závodu.</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b/>
        </w:rPr>
      </w:pPr>
      <w:r w:rsidRPr="00D5050F">
        <w:rPr>
          <w:rFonts w:ascii="Arial" w:hAnsi="Arial" w:cs="Arial"/>
          <w:b/>
        </w:rPr>
        <w:t>Nebezpečné materiály</w:t>
      </w:r>
    </w:p>
    <w:p w:rsidR="00993FB6" w:rsidRPr="00D5050F" w:rsidRDefault="00993FB6" w:rsidP="00993FB6">
      <w:pPr>
        <w:jc w:val="both"/>
        <w:rPr>
          <w:rFonts w:ascii="Arial" w:hAnsi="Arial" w:cs="Arial"/>
        </w:rPr>
      </w:pPr>
      <w:r w:rsidRPr="00D5050F">
        <w:rPr>
          <w:rFonts w:ascii="Arial" w:hAnsi="Arial" w:cs="Arial"/>
        </w:rPr>
        <w:t>Dodavatelé musí identifikovat nebezpečné materiály a chemikálie a zajistit bezpečnou manipulaci, transport, skladování, recyklaci, opětovné použití a likvidaci v souladu s příslušnými zákony a nařízeními.</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b/>
        </w:rPr>
      </w:pPr>
      <w:r w:rsidRPr="00D5050F">
        <w:rPr>
          <w:rFonts w:ascii="Arial" w:hAnsi="Arial" w:cs="Arial"/>
          <w:b/>
        </w:rPr>
        <w:t>Krizový management</w:t>
      </w:r>
    </w:p>
    <w:p w:rsidR="00993FB6" w:rsidRPr="00D5050F" w:rsidRDefault="00993FB6" w:rsidP="00993FB6">
      <w:pPr>
        <w:jc w:val="both"/>
        <w:rPr>
          <w:rFonts w:ascii="Arial" w:hAnsi="Arial" w:cs="Arial"/>
        </w:rPr>
      </w:pPr>
      <w:r w:rsidRPr="00D5050F">
        <w:rPr>
          <w:rFonts w:ascii="Arial" w:hAnsi="Arial" w:cs="Arial"/>
        </w:rPr>
        <w:t>Dodavatelé musí mít zavedeny směrnice a postupy pro mimořádné situace.</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b/>
        </w:rPr>
      </w:pPr>
      <w:r w:rsidRPr="00D5050F">
        <w:rPr>
          <w:rFonts w:ascii="Arial" w:hAnsi="Arial" w:cs="Arial"/>
          <w:b/>
        </w:rPr>
        <w:t>Instrukce:</w:t>
      </w:r>
    </w:p>
    <w:p w:rsidR="00993FB6" w:rsidRPr="00D5050F" w:rsidRDefault="00993FB6" w:rsidP="00993FB6">
      <w:pPr>
        <w:jc w:val="both"/>
        <w:rPr>
          <w:rFonts w:ascii="Arial" w:hAnsi="Arial" w:cs="Arial"/>
        </w:rPr>
      </w:pPr>
      <w:r w:rsidRPr="00D5050F">
        <w:rPr>
          <w:rFonts w:ascii="Arial" w:hAnsi="Arial" w:cs="Arial"/>
        </w:rPr>
        <w:t xml:space="preserve">Dodavatel musí svému zástupci z řad senior managementu uložit odpovědnost za bezpečnost a ochranu zdraví a zajistit připravenost svých zaměstnanců a zařízení na mimořádné situace. Minimálním požadavkem je zajistit zavedení evakuačních postupů, detekci požáru, odpovídající únikové východy a pravidelný nácvik mimořádných situací. </w:t>
      </w:r>
    </w:p>
    <w:p w:rsidR="00993FB6" w:rsidRPr="00D5050F" w:rsidRDefault="00993FB6" w:rsidP="00993FB6"/>
    <w:p w:rsidR="00993FB6" w:rsidRDefault="00993FB6" w:rsidP="00993FB6">
      <w:pPr>
        <w:rPr>
          <w:rFonts w:ascii="Arial" w:hAnsi="Arial" w:cs="Arial"/>
          <w:b/>
          <w:color w:val="004391"/>
          <w:sz w:val="28"/>
          <w:szCs w:val="28"/>
        </w:rPr>
      </w:pPr>
    </w:p>
    <w:p w:rsidR="00993FB6" w:rsidRPr="00D5050F" w:rsidRDefault="00993FB6" w:rsidP="00993FB6">
      <w:pPr>
        <w:rPr>
          <w:rFonts w:ascii="Arial" w:hAnsi="Arial" w:cs="Arial"/>
          <w:b/>
          <w:color w:val="004391"/>
          <w:sz w:val="28"/>
          <w:szCs w:val="28"/>
        </w:rPr>
      </w:pPr>
      <w:r w:rsidRPr="00D5050F">
        <w:rPr>
          <w:rFonts w:ascii="Arial" w:hAnsi="Arial" w:cs="Arial"/>
          <w:b/>
          <w:color w:val="004391"/>
          <w:sz w:val="28"/>
          <w:szCs w:val="28"/>
        </w:rPr>
        <w:t>Poctivost v podnikání</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Pro společnost </w:t>
      </w:r>
      <w:r w:rsidR="00AF7AEF">
        <w:rPr>
          <w:rFonts w:ascii="Arial" w:hAnsi="Arial" w:cs="Arial"/>
        </w:rPr>
        <w:t>AEI</w:t>
      </w:r>
      <w:r>
        <w:rPr>
          <w:rFonts w:ascii="Arial" w:hAnsi="Arial" w:cs="Arial"/>
        </w:rPr>
        <w:t xml:space="preserve"> </w:t>
      </w:r>
      <w:r w:rsidRPr="00D5050F">
        <w:rPr>
          <w:rFonts w:ascii="Arial" w:hAnsi="Arial" w:cs="Arial"/>
        </w:rPr>
        <w:t xml:space="preserve">je zásadní dodržovat vysoký standard etického a transparentního chování. Máme náš vlastní Etický kodex (Code of Business Conduct and Ethics), který platí pro všechny zaměstnance naší skupiny stejně jako pro třetí strany vystupující jménem společnosti </w:t>
      </w:r>
      <w:r w:rsidR="00AF7AEF">
        <w:rPr>
          <w:rFonts w:ascii="Arial" w:hAnsi="Arial" w:cs="Arial"/>
        </w:rPr>
        <w:t>AEI</w:t>
      </w:r>
      <w:r w:rsidRPr="00D5050F">
        <w:rPr>
          <w:rFonts w:ascii="Arial" w:hAnsi="Arial" w:cs="Arial"/>
        </w:rPr>
        <w:t xml:space="preserve">. Tento standard chceme rozšířit v celém našem dodavatelském řetězci, a proto jsme do Zásad </w:t>
      </w:r>
      <w:r>
        <w:rPr>
          <w:rFonts w:ascii="Arial" w:hAnsi="Arial" w:cs="Arial"/>
        </w:rPr>
        <w:t>obchodní etiky</w:t>
      </w:r>
      <w:r w:rsidRPr="00D5050F">
        <w:rPr>
          <w:rFonts w:ascii="Arial" w:hAnsi="Arial" w:cs="Arial"/>
        </w:rPr>
        <w:t xml:space="preserve"> zahrnuli i oblast transparentnosti a obchodní etiky.</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Spravedlivé a etické chování v souladu s požadavky</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Dodavatelé musí vždy jednat eticky a poctivě a musí dodržovat zákony a nařízení platné v dané lokalitě, zemi i v mezinárodním měřítku.</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Střet zájmů, dary a pohoštění</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Dodavatelé se nesmí zapojovat do nepatřičných plateb a činit či přijímat přímé nebo nepřímé nabídky nebo žádosti ve vztahu s našimi zaměstnanci. Dodavatelé by se měli vyhýbat situacím, při kterých by mohlo dojít ke střetu zájmů, a musí neprodleně informovat </w:t>
      </w:r>
      <w:r w:rsidR="00AF7AEF">
        <w:rPr>
          <w:rFonts w:ascii="Arial" w:hAnsi="Arial" w:cs="Arial"/>
        </w:rPr>
        <w:t>AEI</w:t>
      </w:r>
      <w:r>
        <w:rPr>
          <w:rFonts w:ascii="Arial" w:hAnsi="Arial" w:cs="Arial"/>
        </w:rPr>
        <w:t xml:space="preserve"> </w:t>
      </w:r>
      <w:r w:rsidRPr="00D5050F">
        <w:rPr>
          <w:rFonts w:ascii="Arial" w:hAnsi="Arial" w:cs="Arial"/>
        </w:rPr>
        <w:t xml:space="preserve">o každém střetu zájmů, který nastane. Nákupní úsek </w:t>
      </w:r>
      <w:r w:rsidR="00AF7AEF">
        <w:rPr>
          <w:rFonts w:ascii="Arial" w:hAnsi="Arial" w:cs="Arial"/>
        </w:rPr>
        <w:t>AEI</w:t>
      </w:r>
      <w:r>
        <w:rPr>
          <w:rFonts w:ascii="Arial" w:hAnsi="Arial" w:cs="Arial"/>
        </w:rPr>
        <w:t xml:space="preserve"> </w:t>
      </w:r>
      <w:r w:rsidRPr="00D5050F">
        <w:rPr>
          <w:rFonts w:ascii="Arial" w:hAnsi="Arial" w:cs="Arial"/>
        </w:rPr>
        <w:t>nepřijímá od svých stávajících či potenciálních dodavatelů dary ani nabídky na pohoštění či zábavu.</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Protikorupční zásady</w:t>
      </w:r>
    </w:p>
    <w:p w:rsidR="00993FB6" w:rsidRPr="00D5050F" w:rsidRDefault="00993FB6" w:rsidP="00993FB6">
      <w:pPr>
        <w:rPr>
          <w:rFonts w:ascii="Arial" w:hAnsi="Arial" w:cs="Arial"/>
          <w:b/>
          <w:color w:val="004391"/>
        </w:rPr>
      </w:pPr>
    </w:p>
    <w:p w:rsidR="00993FB6" w:rsidRPr="00D5050F" w:rsidRDefault="00AF7AEF" w:rsidP="00993FB6">
      <w:pPr>
        <w:jc w:val="both"/>
        <w:rPr>
          <w:rFonts w:ascii="Arial" w:hAnsi="Arial" w:cs="Arial"/>
        </w:rPr>
      </w:pPr>
      <w:r>
        <w:rPr>
          <w:rFonts w:ascii="Arial" w:hAnsi="Arial" w:cs="Arial"/>
        </w:rPr>
        <w:t>AEI</w:t>
      </w:r>
      <w:r w:rsidR="00993FB6">
        <w:rPr>
          <w:rFonts w:ascii="Arial" w:hAnsi="Arial" w:cs="Arial"/>
        </w:rPr>
        <w:t xml:space="preserve"> </w:t>
      </w:r>
      <w:r w:rsidR="00993FB6" w:rsidRPr="00D5050F">
        <w:rPr>
          <w:rFonts w:ascii="Arial" w:hAnsi="Arial" w:cs="Arial"/>
        </w:rPr>
        <w:t xml:space="preserve">je plně odhodlána vymýtit korupci z veškerých obchodních transakcí. Dodavatelé se nesmí za žádných okolností dopustit korupčního jednání, tj. například braní či nabízení úplatků nebo nepatřičných či nelegálních plateb v jakékoliv podobě, včetně finančních podvodů, praní špinavých peněz, vydírání či </w:t>
      </w:r>
      <w:r w:rsidR="00993FB6" w:rsidRPr="00BA6A47">
        <w:rPr>
          <w:rFonts w:ascii="Arial" w:hAnsi="Arial" w:cs="Arial"/>
        </w:rPr>
        <w:t>úplat za zjednodušení či urychlení vyřízení.</w:t>
      </w:r>
      <w:r w:rsidR="00993FB6" w:rsidRPr="00D5050F">
        <w:rPr>
          <w:rFonts w:ascii="Arial" w:hAnsi="Arial" w:cs="Arial"/>
        </w:rPr>
        <w:t xml:space="preserve"> Další informace jsou obsaženy v Protikorupční směrnici </w:t>
      </w:r>
      <w:r>
        <w:rPr>
          <w:rFonts w:ascii="Arial" w:hAnsi="Arial" w:cs="Arial"/>
        </w:rPr>
        <w:t>AEI</w:t>
      </w:r>
      <w:r w:rsidR="00993FB6">
        <w:rPr>
          <w:rFonts w:ascii="Arial" w:hAnsi="Arial" w:cs="Arial"/>
        </w:rPr>
        <w:t xml:space="preserve"> </w:t>
      </w:r>
      <w:r w:rsidR="00993FB6" w:rsidRPr="00D5050F">
        <w:rPr>
          <w:rFonts w:ascii="Arial" w:hAnsi="Arial" w:cs="Arial"/>
        </w:rPr>
        <w:t xml:space="preserve">pro dodavatele, v níž je podrobně uvedeno, jaké jednání očekáváme od našich dodavatelů, abychom si mohli být jisti, že jsou </w:t>
      </w:r>
      <w:r w:rsidR="00993FB6">
        <w:rPr>
          <w:rFonts w:ascii="Arial" w:hAnsi="Arial" w:cs="Arial"/>
        </w:rPr>
        <w:t>trvale</w:t>
      </w:r>
      <w:r w:rsidR="00993FB6" w:rsidRPr="00D5050F">
        <w:rPr>
          <w:rFonts w:ascii="Arial" w:hAnsi="Arial" w:cs="Arial"/>
        </w:rPr>
        <w:t xml:space="preserve"> dodržovány naše vysoké protikorupční standardy a že se naši dodavatelé řídí nejlepšími postupy.</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Transparentní vykazování původu</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Dodavatelé musí být schopni uvést </w:t>
      </w:r>
      <w:r w:rsidR="00AF7AEF">
        <w:rPr>
          <w:rFonts w:ascii="Arial" w:hAnsi="Arial" w:cs="Arial"/>
        </w:rPr>
        <w:t>AEI</w:t>
      </w:r>
      <w:r>
        <w:rPr>
          <w:rFonts w:ascii="Arial" w:hAnsi="Arial" w:cs="Arial"/>
        </w:rPr>
        <w:t xml:space="preserve"> </w:t>
      </w:r>
      <w:r w:rsidRPr="00D5050F">
        <w:rPr>
          <w:rFonts w:ascii="Arial" w:hAnsi="Arial" w:cs="Arial"/>
        </w:rPr>
        <w:t xml:space="preserve">primární původ (včetně země původu), resp. zdroje materiálů a surovin dodávaných společnosti </w:t>
      </w:r>
      <w:r w:rsidR="00AF7AEF">
        <w:rPr>
          <w:rFonts w:ascii="Arial" w:hAnsi="Arial" w:cs="Arial"/>
        </w:rPr>
        <w:t>AEI</w:t>
      </w:r>
      <w:r w:rsidRPr="00D5050F">
        <w:rPr>
          <w:rFonts w:ascii="Arial" w:hAnsi="Arial" w:cs="Arial"/>
        </w:rPr>
        <w:t>. Naše společnost je oprávněna požádat dodavatele vybraných materiálů a surovin, aby zmapovali svůj dodavatelský řetězec zpět až na samotný počátek a umožnit tak vyhodnocení dodržování standardů zpětně v dodavatelském řetězci.</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Trvalá udržitelnost v ochraně životního prostředí</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Minimálním požadavkem společnosti </w:t>
      </w:r>
      <w:r w:rsidR="00AF7AEF">
        <w:rPr>
          <w:rFonts w:ascii="Arial" w:hAnsi="Arial" w:cs="Arial"/>
        </w:rPr>
        <w:t>AEI</w:t>
      </w:r>
      <w:r>
        <w:rPr>
          <w:rFonts w:ascii="Arial" w:hAnsi="Arial" w:cs="Arial"/>
        </w:rPr>
        <w:t xml:space="preserve"> </w:t>
      </w:r>
      <w:r w:rsidRPr="00D5050F">
        <w:rPr>
          <w:rFonts w:ascii="Arial" w:hAnsi="Arial" w:cs="Arial"/>
        </w:rPr>
        <w:t>na dodavatele je, aby dodržovali veškerou příslušnou environmentální legislativu dané země a podnikali způsobem umožňujícím ochranu a zachování životního prostředí.</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Systém řízení ochrany životního prostředí</w:t>
      </w:r>
    </w:p>
    <w:p w:rsidR="00993FB6" w:rsidRPr="00D5050F" w:rsidRDefault="00993FB6" w:rsidP="00993FB6">
      <w:pPr>
        <w:jc w:val="both"/>
        <w:rPr>
          <w:rFonts w:ascii="Arial" w:hAnsi="Arial" w:cs="Arial"/>
        </w:rPr>
      </w:pPr>
      <w:r w:rsidRPr="00D5050F">
        <w:rPr>
          <w:rFonts w:ascii="Arial" w:hAnsi="Arial" w:cs="Arial"/>
        </w:rPr>
        <w:t>Dodavatelé by měli mít zavedeny směrnice, postupy a příslušné systémy řízení ochrany životního prostředí umožňující identifikaci, kontrolu a omezování závažných environmentálních dopadů.</w:t>
      </w:r>
    </w:p>
    <w:p w:rsidR="00993FB6" w:rsidRPr="00D5050F" w:rsidRDefault="00993FB6" w:rsidP="00993FB6"/>
    <w:p w:rsidR="00993FB6" w:rsidRPr="00D5050F" w:rsidRDefault="00993FB6" w:rsidP="00993FB6">
      <w:pPr>
        <w:rPr>
          <w:rFonts w:ascii="Arial" w:hAnsi="Arial" w:cs="Arial"/>
          <w:b/>
        </w:rPr>
      </w:pPr>
      <w:r w:rsidRPr="00D5050F">
        <w:rPr>
          <w:rFonts w:ascii="Arial" w:hAnsi="Arial" w:cs="Arial"/>
          <w:b/>
        </w:rPr>
        <w:t>Instrukce:</w:t>
      </w:r>
    </w:p>
    <w:p w:rsidR="00993FB6" w:rsidRPr="00D5050F" w:rsidRDefault="00993FB6" w:rsidP="00993FB6">
      <w:pPr>
        <w:jc w:val="both"/>
        <w:rPr>
          <w:rFonts w:ascii="Arial" w:hAnsi="Arial" w:cs="Arial"/>
        </w:rPr>
      </w:pPr>
      <w:r w:rsidRPr="00D5050F">
        <w:rPr>
          <w:rFonts w:ascii="Arial" w:hAnsi="Arial" w:cs="Arial"/>
        </w:rPr>
        <w:t>Dodavatelé musí svému zástupci z řad senior managementu uložit odpovědnost za oblast environmentálních dopadů. Dodavatelé musí oznámit jakoukoliv kontrolu ze strany státních orgánů, včetně podrobností o veškerých oficiálních stížnostech, právních krocích nebo doporučeních. Všechna požadovaná povolení a registrace týkající se ochrany životního prostředí musí být neustále v souladu se zákonem.</w:t>
      </w:r>
    </w:p>
    <w:p w:rsidR="00993FB6" w:rsidRPr="00D5050F" w:rsidRDefault="00993FB6" w:rsidP="00993FB6"/>
    <w:p w:rsidR="00993FB6" w:rsidRPr="00D5050F" w:rsidRDefault="00993FB6" w:rsidP="00993FB6">
      <w:pPr>
        <w:rPr>
          <w:rFonts w:ascii="Arial" w:hAnsi="Arial" w:cs="Arial"/>
          <w:b/>
          <w:color w:val="004391"/>
        </w:rPr>
      </w:pPr>
      <w:r w:rsidRPr="00D5050F">
        <w:rPr>
          <w:rFonts w:ascii="Arial" w:hAnsi="Arial" w:cs="Arial"/>
          <w:b/>
          <w:color w:val="004391"/>
        </w:rPr>
        <w:t>Odpady, spotřeba zdrojů a omezování znečištění</w:t>
      </w:r>
    </w:p>
    <w:p w:rsidR="00993FB6" w:rsidRPr="00D5050F" w:rsidRDefault="00993FB6" w:rsidP="00993FB6">
      <w:pPr>
        <w:rPr>
          <w:rFonts w:ascii="Arial" w:hAnsi="Arial" w:cs="Arial"/>
          <w:b/>
          <w:color w:val="004391"/>
        </w:rPr>
      </w:pPr>
    </w:p>
    <w:p w:rsidR="00993FB6" w:rsidRPr="00D5050F" w:rsidRDefault="00993FB6" w:rsidP="00993FB6">
      <w:pPr>
        <w:jc w:val="both"/>
        <w:rPr>
          <w:rFonts w:ascii="Arial" w:hAnsi="Arial" w:cs="Arial"/>
        </w:rPr>
      </w:pPr>
      <w:r w:rsidRPr="00D5050F">
        <w:rPr>
          <w:rFonts w:ascii="Arial" w:hAnsi="Arial" w:cs="Arial"/>
        </w:rPr>
        <w:t xml:space="preserve">Dodavatelé musí zajistit optimalizaci spotřeby přírodních zdrojů a implementovat a doložit vhodná opatření vedoucí k zamezení znečištění; snižování spotřeby vody; snižování spotřeby energie a emisí CO2 (tzv. uhlíkové stopy); opětovnému využití a recyklaci obalů a snižování množství odpadu deponovaného na skládku a spotřebitelského odpadu. </w:t>
      </w:r>
    </w:p>
    <w:p w:rsidR="00993FB6" w:rsidRPr="00D5050F" w:rsidRDefault="00993FB6" w:rsidP="00993FB6"/>
    <w:p w:rsidR="00993FB6" w:rsidRPr="00D5050F" w:rsidRDefault="00993FB6" w:rsidP="00993FB6"/>
    <w:p w:rsidR="00993FB6" w:rsidRPr="00D5050F" w:rsidRDefault="00993FB6" w:rsidP="00993FB6">
      <w:pPr>
        <w:jc w:val="both"/>
        <w:rPr>
          <w:rFonts w:ascii="Arial" w:hAnsi="Arial" w:cs="Arial"/>
          <w:b/>
          <w:color w:val="004391"/>
          <w:sz w:val="28"/>
        </w:rPr>
      </w:pPr>
      <w:r w:rsidRPr="00D5050F">
        <w:rPr>
          <w:rFonts w:ascii="Arial" w:hAnsi="Arial" w:cs="Arial"/>
          <w:b/>
          <w:color w:val="004391"/>
          <w:sz w:val="28"/>
        </w:rPr>
        <w:t>Spolupráce s našimi dodavateli na dodržování těchto Zásad</w:t>
      </w:r>
    </w:p>
    <w:p w:rsidR="00993FB6" w:rsidRPr="00D5050F" w:rsidRDefault="00993FB6" w:rsidP="00993FB6"/>
    <w:p w:rsidR="00993FB6" w:rsidRPr="00D5050F" w:rsidRDefault="00993FB6" w:rsidP="00993FB6">
      <w:pPr>
        <w:jc w:val="both"/>
        <w:rPr>
          <w:rFonts w:ascii="Arial" w:hAnsi="Arial" w:cs="Arial"/>
        </w:rPr>
      </w:pPr>
      <w:r w:rsidRPr="00D5050F">
        <w:rPr>
          <w:rFonts w:ascii="Arial" w:hAnsi="Arial" w:cs="Arial"/>
        </w:rPr>
        <w:t xml:space="preserve">Od našich dodavatelů očekáváme transparentní přístup k uplatňování sociálních, environmentálních a ekonomických aktivit vedoucích k trvale udržitelnému rozvoji a aktivní zapojení do našich procesů a postupů. Pravidelně monitorujeme činnost našich dodavatelů a dotazujeme se na jejich podnikatelskou praxi prostřednictvím dotazníků, které nám mají pomoci identifikovat a vyhodnotit potenciální etická a společenská rizika. Vyhrazujeme si rovněž právo ověřovat dodržování stanovených Zásad a provádět audity u dodavatelů v rámci průběžného monitorování souladu s těmito Zásadami v jakékoliv fázi smluvního vztahu. V případě nesouladu jsme připraveni spolupracovat s našimi dodavateli na odstranění zjištěných nedostatků pomocí nápravných opatření. V případě déle trvajícího či výrazného nerespektování stanovených Zásad si společnost </w:t>
      </w:r>
      <w:r w:rsidR="00AF7AEF">
        <w:rPr>
          <w:rFonts w:ascii="Arial" w:hAnsi="Arial" w:cs="Arial"/>
        </w:rPr>
        <w:t>AEI</w:t>
      </w:r>
      <w:r>
        <w:rPr>
          <w:rFonts w:ascii="Arial" w:hAnsi="Arial" w:cs="Arial"/>
        </w:rPr>
        <w:t xml:space="preserve"> </w:t>
      </w:r>
      <w:r w:rsidRPr="00D5050F">
        <w:rPr>
          <w:rFonts w:ascii="Arial" w:hAnsi="Arial" w:cs="Arial"/>
        </w:rPr>
        <w:t>vyhrazuje právo přehodnotit svůj obchodní vztah s příslušným dodavatelem.</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rPr>
      </w:pPr>
      <w:r w:rsidRPr="00D5050F">
        <w:rPr>
          <w:rFonts w:ascii="Arial" w:hAnsi="Arial" w:cs="Arial"/>
        </w:rPr>
        <w:t xml:space="preserve">Aktivně spolupracujeme s našimi dodavateli již v rané fázi našich nákupních aktivit, abychom zajistili, že budou uplatňovat naše Zásady chování ve své praxi a budou tuto oblast průběžně sledovat. K tomu používá Nákupní úsek společnosti </w:t>
      </w:r>
      <w:r w:rsidR="00090E61">
        <w:rPr>
          <w:rFonts w:ascii="Arial" w:hAnsi="Arial" w:cs="Arial"/>
        </w:rPr>
        <w:t>AEI tzv.</w:t>
      </w:r>
      <w:r w:rsidRPr="00D5050F">
        <w:rPr>
          <w:rFonts w:ascii="Arial" w:hAnsi="Arial" w:cs="Arial"/>
        </w:rPr>
        <w:t xml:space="preserve"> proces akreditace dodavatelů (Procurement's Supplier Accreditation Process), který probíhá před zahájením dodávek našich klíčových materiálů a služeb.</w:t>
      </w: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rPr>
      </w:pPr>
    </w:p>
    <w:p w:rsidR="00993FB6" w:rsidRPr="00D5050F" w:rsidRDefault="00993FB6" w:rsidP="00993FB6">
      <w:pPr>
        <w:jc w:val="both"/>
        <w:rPr>
          <w:rFonts w:ascii="Arial" w:hAnsi="Arial" w:cs="Arial"/>
        </w:rPr>
      </w:pPr>
      <w:r w:rsidRPr="00D5050F">
        <w:rPr>
          <w:rFonts w:ascii="Arial" w:hAnsi="Arial" w:cs="Arial"/>
        </w:rPr>
        <w:t>Součástí tohoto procesu je i požadavek, aby nás dodavatelé informovali, jakým způsobem řídí oblast lidských práv a pracovně-právních rizik, bezpečnosti a ochrany zdraví, poctivosti v podnikání a ochrany životního prostředí ve všech svých provozních jednotkách.</w:t>
      </w:r>
    </w:p>
    <w:p w:rsidR="00993FB6" w:rsidRDefault="00993FB6" w:rsidP="00993FB6">
      <w:pPr>
        <w:jc w:val="both"/>
        <w:rPr>
          <w:rFonts w:ascii="Arial" w:hAnsi="Arial" w:cs="Arial"/>
        </w:rPr>
      </w:pPr>
    </w:p>
    <w:bookmarkEnd w:id="0"/>
    <w:bookmarkEnd w:id="1"/>
    <w:p w:rsidR="00A51C1D" w:rsidRPr="00B450E9" w:rsidRDefault="00A51C1D" w:rsidP="00052FA3">
      <w:pPr>
        <w:jc w:val="center"/>
        <w:rPr>
          <w:rFonts w:ascii="Arial" w:hAnsi="Arial" w:cs="Arial"/>
          <w:b/>
          <w:bCs/>
          <w:sz w:val="16"/>
          <w:szCs w:val="16"/>
        </w:rPr>
      </w:pPr>
    </w:p>
    <w:sectPr w:rsidR="00A51C1D" w:rsidRPr="00B450E9" w:rsidSect="005E6BD8">
      <w:headerReference w:type="default" r:id="rId12"/>
      <w:footerReference w:type="even" r:id="rId13"/>
      <w:footerReference w:type="default" r:id="rId14"/>
      <w:headerReference w:type="first" r:id="rId15"/>
      <w:footerReference w:type="first" r:id="rId16"/>
      <w:pgSz w:w="11906" w:h="16838" w:code="9"/>
      <w:pgMar w:top="567" w:right="1134" w:bottom="567" w:left="1134" w:header="284"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5B5A" w:rsidRDefault="00715B5A">
      <w:r>
        <w:separator/>
      </w:r>
    </w:p>
  </w:endnote>
  <w:endnote w:type="continuationSeparator" w:id="0">
    <w:p w:rsidR="00715B5A" w:rsidRDefault="0071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0B15" w:rsidRDefault="000E0B1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0E0B15" w:rsidRDefault="000E0B1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0B15" w:rsidRPr="0076062B" w:rsidRDefault="000E0B15" w:rsidP="00052FA3">
    <w:pPr>
      <w:pStyle w:val="Zpat"/>
      <w:rPr>
        <w:rFonts w:ascii="Arial" w:hAnsi="Arial" w:cs="Arial"/>
      </w:rPr>
    </w:pPr>
    <w:r w:rsidRPr="0076062B">
      <w:rPr>
        <w:rFonts w:ascii="Arial" w:hAnsi="Arial" w:cs="Arial"/>
        <w:noProof/>
        <w:lang w:val="en-US" w:eastAsia="en-US"/>
      </w:rPr>
      <w:drawing>
        <wp:anchor distT="0" distB="0" distL="114300" distR="114300" simplePos="0" relativeHeight="251657728" behindDoc="1" locked="0" layoutInCell="1" allowOverlap="1" wp14:anchorId="4B5CFB7C" wp14:editId="4928A83A">
          <wp:simplePos x="0" y="0"/>
          <wp:positionH relativeFrom="column">
            <wp:posOffset>-64770</wp:posOffset>
          </wp:positionH>
          <wp:positionV relativeFrom="paragraph">
            <wp:posOffset>10422890</wp:posOffset>
          </wp:positionV>
          <wp:extent cx="7753350" cy="254635"/>
          <wp:effectExtent l="0" t="0" r="0" b="0"/>
          <wp:wrapNone/>
          <wp:docPr id="20" name="obrázek 6" descr="DP_obchod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DP_obchod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62B" w:rsidRPr="0076062B">
      <w:rPr>
        <w:rFonts w:ascii="Arial" w:hAnsi="Arial" w:cs="Arial"/>
        <w:noProof/>
      </w:rPr>
      <w:t>AEI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0B15" w:rsidRDefault="000E0B15" w:rsidP="00382DC6">
    <w:pPr>
      <w:pStyle w:val="Zpat"/>
    </w:pPr>
    <w:r>
      <w:rPr>
        <w:noProof/>
        <w:lang w:val="en-US" w:eastAsia="en-US"/>
      </w:rPr>
      <w:drawing>
        <wp:anchor distT="0" distB="0" distL="114300" distR="114300" simplePos="0" relativeHeight="251656704" behindDoc="1" locked="0" layoutInCell="1" allowOverlap="1" wp14:anchorId="37CA8D4A" wp14:editId="709B3003">
          <wp:simplePos x="0" y="0"/>
          <wp:positionH relativeFrom="column">
            <wp:posOffset>-1032510</wp:posOffset>
          </wp:positionH>
          <wp:positionV relativeFrom="paragraph">
            <wp:posOffset>352425</wp:posOffset>
          </wp:positionV>
          <wp:extent cx="7753350" cy="254635"/>
          <wp:effectExtent l="0" t="0" r="0" b="0"/>
          <wp:wrapNone/>
          <wp:docPr id="10" name="obrázek 10" descr="DP_obchod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_obchod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254635"/>
                  </a:xfrm>
                  <a:prstGeom prst="rect">
                    <a:avLst/>
                  </a:prstGeom>
                  <a:noFill/>
                </pic:spPr>
              </pic:pic>
            </a:graphicData>
          </a:graphic>
          <wp14:sizeRelH relativeFrom="page">
            <wp14:pctWidth>0</wp14:pctWidth>
          </wp14:sizeRelH>
          <wp14:sizeRelV relativeFrom="page">
            <wp14:pctHeight>0</wp14:pctHeight>
          </wp14:sizeRelV>
        </wp:anchor>
      </w:drawing>
    </w:r>
  </w:p>
  <w:p w:rsidR="000E0B15" w:rsidRPr="00382DC6" w:rsidRDefault="000E0B15" w:rsidP="00382D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5B5A" w:rsidRDefault="00715B5A">
      <w:r>
        <w:separator/>
      </w:r>
    </w:p>
  </w:footnote>
  <w:footnote w:type="continuationSeparator" w:id="0">
    <w:p w:rsidR="00715B5A" w:rsidRDefault="0071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0B15" w:rsidRPr="0079630F" w:rsidRDefault="00C632B7" w:rsidP="0079630F">
    <w:pPr>
      <w:pStyle w:val="Zhlav"/>
    </w:pPr>
    <w:r>
      <w:rPr>
        <w:noProof/>
      </w:rPr>
      <mc:AlternateContent>
        <mc:Choice Requires="wps">
          <w:drawing>
            <wp:anchor distT="0" distB="0" distL="114300" distR="114300" simplePos="0" relativeHeight="251659264" behindDoc="0" locked="0" layoutInCell="0" allowOverlap="1" wp14:anchorId="6B98FDC9" wp14:editId="5127F8CC">
              <wp:simplePos x="0" y="0"/>
              <wp:positionH relativeFrom="page">
                <wp:posOffset>0</wp:posOffset>
              </wp:positionH>
              <wp:positionV relativeFrom="page">
                <wp:posOffset>190500</wp:posOffset>
              </wp:positionV>
              <wp:extent cx="7560310" cy="273050"/>
              <wp:effectExtent l="0" t="0" r="0" b="12700"/>
              <wp:wrapNone/>
              <wp:docPr id="1" name="MSIPCM3a654969a57700b7420ba59e" descr="{&quot;HashCode&quot;:214661847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632B7" w:rsidRPr="00C632B7" w:rsidRDefault="00C632B7" w:rsidP="00C632B7">
                          <w:pPr>
                            <w:jc w:val="right"/>
                            <w:rPr>
                              <w:rFonts w:ascii="Calibri" w:hAnsi="Calibri" w:cs="Calibri"/>
                              <w:color w:val="000000"/>
                            </w:rPr>
                          </w:pPr>
                          <w:r w:rsidRPr="00C632B7">
                            <w:rPr>
                              <w:rFonts w:ascii="Calibri" w:hAnsi="Calibri" w:cs="Calibri"/>
                              <w:color w:val="000000"/>
                            </w:rPr>
                            <w:t>AEI: Internal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98FDC9" id="_x0000_t202" coordsize="21600,21600" o:spt="202" path="m,l,21600r21600,l21600,xe">
              <v:stroke joinstyle="miter"/>
              <v:path gradientshapeok="t" o:connecttype="rect"/>
            </v:shapetype>
            <v:shape id="MSIPCM3a654969a57700b7420ba59e" o:spid="_x0000_s1026" type="#_x0000_t202" alt="{&quot;HashCode&quot;:2146618477,&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L82bTLECAABHBQAADgAA&#10;AAAAAAAAAAAAAAAuAgAAZHJzL2Uyb0RvYy54bWxQSwECLQAUAAYACAAAACEAcZ8dX90AAAAHAQAA&#10;DwAAAAAAAAAAAAAAAAALBQAAZHJzL2Rvd25yZXYueG1sUEsFBgAAAAAEAAQA8wAAABUGAAAAAA==&#10;" o:allowincell="f" filled="f" stroked="f" strokeweight=".5pt">
              <v:fill o:detectmouseclick="t"/>
              <v:textbox inset=",0,20pt,0">
                <w:txbxContent>
                  <w:p w:rsidR="00C632B7" w:rsidRPr="00C632B7" w:rsidRDefault="00C632B7" w:rsidP="00C632B7">
                    <w:pPr>
                      <w:jc w:val="right"/>
                      <w:rPr>
                        <w:rFonts w:ascii="Calibri" w:hAnsi="Calibri" w:cs="Calibri"/>
                        <w:color w:val="000000"/>
                      </w:rPr>
                    </w:pPr>
                    <w:r w:rsidRPr="00C632B7">
                      <w:rPr>
                        <w:rFonts w:ascii="Calibri" w:hAnsi="Calibri" w:cs="Calibri"/>
                        <w:color w:val="000000"/>
                      </w:rPr>
                      <w:t>AEI: Internal</w:t>
                    </w:r>
                  </w:p>
                </w:txbxContent>
              </v:textbox>
              <w10:wrap anchorx="page" anchory="page"/>
            </v:shape>
          </w:pict>
        </mc:Fallback>
      </mc:AlternateContent>
    </w:r>
    <w:r w:rsidR="000E0B15" w:rsidRPr="0079630F">
      <w:t xml:space="preserve"> </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262"/>
      <w:gridCol w:w="2140"/>
      <w:gridCol w:w="2127"/>
      <w:gridCol w:w="1842"/>
    </w:tblGrid>
    <w:tr w:rsidR="00B450E9" w:rsidRPr="00B450E9" w:rsidTr="005E6BD8">
      <w:trPr>
        <w:cantSplit/>
        <w:trHeight w:hRule="exact" w:val="294"/>
      </w:trPr>
      <w:tc>
        <w:tcPr>
          <w:tcW w:w="2338" w:type="dxa"/>
          <w:vMerge w:val="restart"/>
          <w:vAlign w:val="center"/>
        </w:tcPr>
        <w:p w:rsidR="000E0B15" w:rsidRPr="00B450E9" w:rsidRDefault="000E0B15" w:rsidP="006A5867">
          <w:pPr>
            <w:tabs>
              <w:tab w:val="center" w:pos="4536"/>
              <w:tab w:val="right" w:pos="9720"/>
            </w:tabs>
            <w:jc w:val="center"/>
            <w:rPr>
              <w:rFonts w:ascii="Arial" w:hAnsi="Arial" w:cs="Arial"/>
              <w:b/>
              <w:sz w:val="16"/>
              <w:szCs w:val="16"/>
            </w:rPr>
          </w:pPr>
          <w:r w:rsidRPr="00B450E9">
            <w:rPr>
              <w:rFonts w:ascii="Arial" w:hAnsi="Arial" w:cs="Arial"/>
              <w:b/>
              <w:sz w:val="16"/>
              <w:szCs w:val="16"/>
            </w:rPr>
            <w:t>Plzeňský Prazdroj, a.s.</w:t>
          </w:r>
        </w:p>
        <w:p w:rsidR="000E0B15" w:rsidRPr="00B450E9" w:rsidRDefault="000E0B15" w:rsidP="006A5867">
          <w:pPr>
            <w:tabs>
              <w:tab w:val="center" w:pos="4536"/>
              <w:tab w:val="right" w:pos="9720"/>
            </w:tabs>
            <w:jc w:val="center"/>
            <w:rPr>
              <w:rFonts w:ascii="Arial" w:hAnsi="Arial" w:cs="Arial"/>
              <w:b/>
              <w:sz w:val="16"/>
              <w:szCs w:val="16"/>
            </w:rPr>
          </w:pPr>
        </w:p>
      </w:tc>
      <w:tc>
        <w:tcPr>
          <w:tcW w:w="5529" w:type="dxa"/>
          <w:gridSpan w:val="3"/>
          <w:tcBorders>
            <w:bottom w:val="nil"/>
          </w:tcBorders>
          <w:vAlign w:val="center"/>
        </w:tcPr>
        <w:p w:rsidR="000E0B15" w:rsidRPr="00B450E9" w:rsidRDefault="000E0B15" w:rsidP="00714007">
          <w:pPr>
            <w:tabs>
              <w:tab w:val="center" w:pos="4536"/>
              <w:tab w:val="right" w:pos="9072"/>
            </w:tabs>
            <w:jc w:val="center"/>
            <w:rPr>
              <w:rFonts w:ascii="Arial Black" w:hAnsi="Arial Black"/>
              <w:sz w:val="16"/>
              <w:szCs w:val="16"/>
            </w:rPr>
          </w:pPr>
          <w:r w:rsidRPr="00B450E9">
            <w:rPr>
              <w:rFonts w:ascii="Arial Black" w:hAnsi="Arial Black"/>
              <w:sz w:val="16"/>
              <w:szCs w:val="16"/>
            </w:rPr>
            <w:t xml:space="preserve">PŘÍLOHA Č. </w:t>
          </w:r>
          <w:r w:rsidR="00993FB6">
            <w:rPr>
              <w:rFonts w:ascii="Arial Black" w:hAnsi="Arial Black"/>
              <w:sz w:val="16"/>
              <w:szCs w:val="16"/>
            </w:rPr>
            <w:t>2</w:t>
          </w:r>
          <w:r w:rsidRPr="00B450E9">
            <w:rPr>
              <w:rFonts w:ascii="Arial Black" w:hAnsi="Arial Black"/>
              <w:sz w:val="16"/>
              <w:szCs w:val="16"/>
            </w:rPr>
            <w:t xml:space="preserve"> KE SMĚRNICI „</w:t>
          </w:r>
          <w:r w:rsidR="007A06D6" w:rsidRPr="00B450E9">
            <w:rPr>
              <w:rFonts w:ascii="Arial Black" w:hAnsi="Arial Black"/>
              <w:sz w:val="16"/>
              <w:szCs w:val="16"/>
            </w:rPr>
            <w:t>ETIKA SPOL</w:t>
          </w:r>
          <w:r w:rsidR="00354BDB">
            <w:rPr>
              <w:rFonts w:ascii="Arial Black" w:hAnsi="Arial Black"/>
              <w:sz w:val="16"/>
              <w:szCs w:val="16"/>
            </w:rPr>
            <w:t>E</w:t>
          </w:r>
          <w:r w:rsidR="007A06D6" w:rsidRPr="00B450E9">
            <w:rPr>
              <w:rFonts w:ascii="Arial Black" w:hAnsi="Arial Black"/>
              <w:sz w:val="16"/>
              <w:szCs w:val="16"/>
            </w:rPr>
            <w:t>ČNOSTI</w:t>
          </w:r>
          <w:r w:rsidRPr="00B450E9">
            <w:rPr>
              <w:rFonts w:ascii="Arial Black" w:hAnsi="Arial Black"/>
              <w:sz w:val="16"/>
              <w:szCs w:val="16"/>
            </w:rPr>
            <w:t>“</w:t>
          </w:r>
        </w:p>
        <w:p w:rsidR="000E0B15" w:rsidRPr="00B450E9" w:rsidRDefault="000E0B15" w:rsidP="00714007">
          <w:pPr>
            <w:tabs>
              <w:tab w:val="center" w:pos="4536"/>
              <w:tab w:val="right" w:pos="9072"/>
            </w:tabs>
            <w:jc w:val="center"/>
            <w:rPr>
              <w:rFonts w:ascii="Arial" w:hAnsi="Arial" w:cs="Arial"/>
              <w:sz w:val="16"/>
              <w:szCs w:val="16"/>
            </w:rPr>
          </w:pPr>
        </w:p>
      </w:tc>
      <w:tc>
        <w:tcPr>
          <w:tcW w:w="1842" w:type="dxa"/>
          <w:tcBorders>
            <w:bottom w:val="nil"/>
          </w:tcBorders>
          <w:vAlign w:val="center"/>
        </w:tcPr>
        <w:p w:rsidR="000E0B15" w:rsidRPr="00B450E9" w:rsidRDefault="000E0B15" w:rsidP="00714007">
          <w:pPr>
            <w:tabs>
              <w:tab w:val="center" w:pos="4536"/>
              <w:tab w:val="right" w:pos="9072"/>
            </w:tabs>
            <w:rPr>
              <w:rFonts w:ascii="Arial" w:hAnsi="Arial" w:cs="Arial"/>
              <w:sz w:val="16"/>
              <w:szCs w:val="16"/>
            </w:rPr>
          </w:pPr>
          <w:r w:rsidRPr="00B450E9">
            <w:rPr>
              <w:rFonts w:ascii="Arial" w:hAnsi="Arial" w:cs="Arial"/>
              <w:sz w:val="16"/>
              <w:szCs w:val="16"/>
            </w:rPr>
            <w:t xml:space="preserve">Evidenční č.: </w:t>
          </w:r>
        </w:p>
      </w:tc>
    </w:tr>
    <w:tr w:rsidR="00B450E9" w:rsidRPr="00B450E9" w:rsidTr="005E6BD8">
      <w:trPr>
        <w:cantSplit/>
        <w:trHeight w:val="126"/>
      </w:trPr>
      <w:tc>
        <w:tcPr>
          <w:tcW w:w="2338" w:type="dxa"/>
          <w:vMerge/>
          <w:tcBorders>
            <w:bottom w:val="single" w:sz="4" w:space="0" w:color="auto"/>
          </w:tcBorders>
        </w:tcPr>
        <w:p w:rsidR="000E0B15" w:rsidRPr="00B450E9" w:rsidRDefault="000E0B15" w:rsidP="00714007">
          <w:pPr>
            <w:tabs>
              <w:tab w:val="center" w:pos="4536"/>
              <w:tab w:val="right" w:pos="9072"/>
            </w:tabs>
            <w:rPr>
              <w:rFonts w:ascii="Arial" w:hAnsi="Arial" w:cs="Arial"/>
              <w:sz w:val="16"/>
              <w:szCs w:val="16"/>
            </w:rPr>
          </w:pPr>
        </w:p>
      </w:tc>
      <w:tc>
        <w:tcPr>
          <w:tcW w:w="5529" w:type="dxa"/>
          <w:gridSpan w:val="3"/>
          <w:tcBorders>
            <w:top w:val="nil"/>
            <w:bottom w:val="single" w:sz="4" w:space="0" w:color="auto"/>
          </w:tcBorders>
          <w:vAlign w:val="center"/>
        </w:tcPr>
        <w:p w:rsidR="000E0B15" w:rsidRPr="00B450E9" w:rsidRDefault="00993FB6" w:rsidP="00714007">
          <w:pPr>
            <w:tabs>
              <w:tab w:val="center" w:pos="4536"/>
              <w:tab w:val="right" w:pos="9072"/>
            </w:tabs>
            <w:jc w:val="center"/>
            <w:rPr>
              <w:rFonts w:ascii="Arial" w:hAnsi="Arial" w:cs="Arial"/>
              <w:sz w:val="16"/>
              <w:szCs w:val="16"/>
            </w:rPr>
          </w:pPr>
          <w:r>
            <w:rPr>
              <w:rFonts w:ascii="Arial Black" w:hAnsi="Arial Black"/>
              <w:sz w:val="16"/>
              <w:szCs w:val="16"/>
            </w:rPr>
            <w:t>Zásady obchodní etiky</w:t>
          </w:r>
        </w:p>
      </w:tc>
      <w:tc>
        <w:tcPr>
          <w:tcW w:w="1842" w:type="dxa"/>
          <w:tcBorders>
            <w:top w:val="nil"/>
            <w:bottom w:val="single" w:sz="4" w:space="0" w:color="auto"/>
          </w:tcBorders>
          <w:vAlign w:val="center"/>
        </w:tcPr>
        <w:p w:rsidR="000E0B15" w:rsidRPr="00B450E9" w:rsidRDefault="000E0B15" w:rsidP="00993FB6">
          <w:pPr>
            <w:tabs>
              <w:tab w:val="center" w:pos="4536"/>
              <w:tab w:val="right" w:pos="9072"/>
            </w:tabs>
            <w:jc w:val="center"/>
            <w:rPr>
              <w:rFonts w:ascii="Arial" w:hAnsi="Arial" w:cs="Arial"/>
              <w:sz w:val="16"/>
              <w:szCs w:val="16"/>
            </w:rPr>
          </w:pPr>
          <w:r w:rsidRPr="00AA2F68">
            <w:rPr>
              <w:rFonts w:ascii="Arial" w:hAnsi="Arial" w:cs="Arial"/>
              <w:b/>
              <w:bCs/>
              <w:sz w:val="16"/>
              <w:szCs w:val="16"/>
            </w:rPr>
            <w:t>P-</w:t>
          </w:r>
          <w:r w:rsidR="00B450E9" w:rsidRPr="00AA2F68">
            <w:rPr>
              <w:rFonts w:ascii="Arial" w:hAnsi="Arial" w:cs="Arial"/>
              <w:b/>
              <w:bCs/>
              <w:sz w:val="16"/>
              <w:szCs w:val="16"/>
            </w:rPr>
            <w:t>0</w:t>
          </w:r>
          <w:r w:rsidR="00993FB6" w:rsidRPr="00AA2F68">
            <w:rPr>
              <w:rFonts w:ascii="Arial" w:hAnsi="Arial" w:cs="Arial"/>
              <w:b/>
              <w:bCs/>
              <w:sz w:val="16"/>
              <w:szCs w:val="16"/>
            </w:rPr>
            <w:t>2</w:t>
          </w:r>
          <w:r w:rsidRPr="00AA2F68">
            <w:rPr>
              <w:rFonts w:ascii="Arial" w:hAnsi="Arial" w:cs="Arial"/>
              <w:b/>
              <w:bCs/>
              <w:sz w:val="16"/>
              <w:szCs w:val="16"/>
            </w:rPr>
            <w:t>-</w:t>
          </w:r>
          <w:r w:rsidRPr="00AA2F68">
            <w:rPr>
              <w:rFonts w:ascii="Arial" w:hAnsi="Arial" w:cs="Arial"/>
              <w:b/>
              <w:bCs/>
              <w:sz w:val="16"/>
              <w:szCs w:val="16"/>
              <w:shd w:val="clear" w:color="auto" w:fill="D9D9D9"/>
            </w:rPr>
            <w:t>SM-</w:t>
          </w:r>
          <w:r w:rsidR="00666FC9" w:rsidRPr="00AA2F68">
            <w:rPr>
              <w:rFonts w:ascii="Arial" w:hAnsi="Arial" w:cs="Arial"/>
              <w:b/>
              <w:bCs/>
              <w:sz w:val="16"/>
              <w:szCs w:val="16"/>
              <w:shd w:val="clear" w:color="auto" w:fill="D9D9D9"/>
            </w:rPr>
            <w:t>G-07-CZ</w:t>
          </w:r>
        </w:p>
      </w:tc>
    </w:tr>
    <w:tr w:rsidR="00B450E9" w:rsidRPr="00B450E9" w:rsidTr="005E6BD8">
      <w:trPr>
        <w:cantSplit/>
        <w:trHeight w:val="171"/>
      </w:trPr>
      <w:tc>
        <w:tcPr>
          <w:tcW w:w="2338" w:type="dxa"/>
          <w:tcBorders>
            <w:bottom w:val="single" w:sz="4" w:space="0" w:color="auto"/>
          </w:tcBorders>
          <w:vAlign w:val="center"/>
        </w:tcPr>
        <w:p w:rsidR="000E0B15" w:rsidRPr="00B450E9" w:rsidRDefault="000E0B15" w:rsidP="00993FB6">
          <w:pPr>
            <w:tabs>
              <w:tab w:val="center" w:pos="4536"/>
              <w:tab w:val="right" w:pos="9072"/>
            </w:tabs>
            <w:jc w:val="center"/>
            <w:rPr>
              <w:rFonts w:ascii="Arial" w:hAnsi="Arial" w:cs="Arial"/>
              <w:sz w:val="15"/>
              <w:szCs w:val="15"/>
            </w:rPr>
          </w:pPr>
          <w:r w:rsidRPr="00B450E9">
            <w:rPr>
              <w:rFonts w:ascii="Arial" w:hAnsi="Arial" w:cs="Arial"/>
              <w:sz w:val="15"/>
              <w:szCs w:val="15"/>
            </w:rPr>
            <w:t>První vydání dne: 0</w:t>
          </w:r>
          <w:r w:rsidR="00993FB6">
            <w:rPr>
              <w:rFonts w:ascii="Arial" w:hAnsi="Arial" w:cs="Arial"/>
              <w:sz w:val="15"/>
              <w:szCs w:val="15"/>
            </w:rPr>
            <w:t>1</w:t>
          </w:r>
          <w:r w:rsidRPr="00B450E9">
            <w:rPr>
              <w:rFonts w:ascii="Arial" w:hAnsi="Arial" w:cs="Arial"/>
              <w:sz w:val="15"/>
              <w:szCs w:val="15"/>
            </w:rPr>
            <w:t>.0</w:t>
          </w:r>
          <w:r w:rsidR="00993FB6">
            <w:rPr>
              <w:rFonts w:ascii="Arial" w:hAnsi="Arial" w:cs="Arial"/>
              <w:sz w:val="15"/>
              <w:szCs w:val="15"/>
            </w:rPr>
            <w:t>3</w:t>
          </w:r>
          <w:r w:rsidRPr="00B450E9">
            <w:rPr>
              <w:rFonts w:ascii="Arial" w:hAnsi="Arial" w:cs="Arial"/>
              <w:sz w:val="15"/>
              <w:szCs w:val="15"/>
            </w:rPr>
            <w:t>.201</w:t>
          </w:r>
          <w:r w:rsidR="00B450E9" w:rsidRPr="00B450E9">
            <w:rPr>
              <w:rFonts w:ascii="Arial" w:hAnsi="Arial" w:cs="Arial"/>
              <w:sz w:val="15"/>
              <w:szCs w:val="15"/>
            </w:rPr>
            <w:t>8</w:t>
          </w:r>
          <w:r w:rsidRPr="00B450E9">
            <w:rPr>
              <w:rFonts w:ascii="Arial" w:hAnsi="Arial" w:cs="Arial"/>
              <w:sz w:val="15"/>
              <w:szCs w:val="15"/>
            </w:rPr>
            <w:t xml:space="preserve"> </w:t>
          </w:r>
        </w:p>
      </w:tc>
      <w:tc>
        <w:tcPr>
          <w:tcW w:w="1262" w:type="dxa"/>
          <w:tcBorders>
            <w:bottom w:val="single" w:sz="4" w:space="0" w:color="auto"/>
          </w:tcBorders>
          <w:vAlign w:val="center"/>
        </w:tcPr>
        <w:p w:rsidR="000E0B15" w:rsidRPr="00B450E9" w:rsidRDefault="000E0B15" w:rsidP="00B450E9">
          <w:pPr>
            <w:tabs>
              <w:tab w:val="center" w:pos="4536"/>
              <w:tab w:val="right" w:pos="9072"/>
            </w:tabs>
            <w:jc w:val="center"/>
            <w:rPr>
              <w:rFonts w:ascii="Arial" w:hAnsi="Arial" w:cs="Arial"/>
              <w:sz w:val="15"/>
              <w:szCs w:val="15"/>
            </w:rPr>
          </w:pPr>
          <w:r w:rsidRPr="00B450E9">
            <w:rPr>
              <w:rFonts w:ascii="Arial" w:hAnsi="Arial" w:cs="Arial"/>
              <w:sz w:val="15"/>
              <w:szCs w:val="15"/>
            </w:rPr>
            <w:t xml:space="preserve">Revize č.: </w:t>
          </w:r>
          <w:r w:rsidR="00AF7AEF">
            <w:rPr>
              <w:rFonts w:ascii="Arial" w:hAnsi="Arial" w:cs="Arial"/>
              <w:sz w:val="15"/>
              <w:szCs w:val="15"/>
            </w:rPr>
            <w:t>3</w:t>
          </w:r>
        </w:p>
      </w:tc>
      <w:tc>
        <w:tcPr>
          <w:tcW w:w="2140" w:type="dxa"/>
          <w:tcBorders>
            <w:bottom w:val="single" w:sz="4" w:space="0" w:color="auto"/>
          </w:tcBorders>
          <w:vAlign w:val="center"/>
        </w:tcPr>
        <w:p w:rsidR="000E0B15" w:rsidRPr="00B450E9" w:rsidRDefault="000E0B15" w:rsidP="00B72E25">
          <w:pPr>
            <w:tabs>
              <w:tab w:val="center" w:pos="4536"/>
              <w:tab w:val="right" w:pos="9072"/>
            </w:tabs>
            <w:jc w:val="center"/>
            <w:rPr>
              <w:rFonts w:ascii="Arial" w:hAnsi="Arial" w:cs="Arial"/>
              <w:sz w:val="15"/>
              <w:szCs w:val="15"/>
            </w:rPr>
          </w:pPr>
          <w:r w:rsidRPr="00B450E9">
            <w:rPr>
              <w:rFonts w:ascii="Arial" w:hAnsi="Arial" w:cs="Arial"/>
              <w:sz w:val="15"/>
              <w:szCs w:val="15"/>
            </w:rPr>
            <w:t>Účinnost od: 1.</w:t>
          </w:r>
          <w:r w:rsidR="00FE0A9C">
            <w:rPr>
              <w:rFonts w:ascii="Arial" w:hAnsi="Arial" w:cs="Arial"/>
              <w:sz w:val="15"/>
              <w:szCs w:val="15"/>
            </w:rPr>
            <w:t>4</w:t>
          </w:r>
          <w:r w:rsidRPr="00B450E9">
            <w:rPr>
              <w:rFonts w:ascii="Arial" w:hAnsi="Arial" w:cs="Arial"/>
              <w:sz w:val="15"/>
              <w:szCs w:val="15"/>
            </w:rPr>
            <w:t>.20</w:t>
          </w:r>
          <w:r w:rsidR="00AF7AEF">
            <w:rPr>
              <w:rFonts w:ascii="Arial" w:hAnsi="Arial" w:cs="Arial"/>
              <w:sz w:val="15"/>
              <w:szCs w:val="15"/>
            </w:rPr>
            <w:t>21</w:t>
          </w:r>
        </w:p>
      </w:tc>
      <w:tc>
        <w:tcPr>
          <w:tcW w:w="2127" w:type="dxa"/>
          <w:tcBorders>
            <w:bottom w:val="single" w:sz="4" w:space="0" w:color="auto"/>
          </w:tcBorders>
          <w:vAlign w:val="center"/>
        </w:tcPr>
        <w:p w:rsidR="000E0B15" w:rsidRPr="00B450E9" w:rsidRDefault="000E0B15" w:rsidP="00714007">
          <w:pPr>
            <w:tabs>
              <w:tab w:val="center" w:pos="4536"/>
              <w:tab w:val="right" w:pos="9072"/>
            </w:tabs>
            <w:jc w:val="center"/>
            <w:rPr>
              <w:rFonts w:ascii="Arial" w:hAnsi="Arial" w:cs="Arial"/>
              <w:sz w:val="15"/>
              <w:szCs w:val="15"/>
            </w:rPr>
          </w:pPr>
          <w:r w:rsidRPr="00B450E9">
            <w:rPr>
              <w:rFonts w:ascii="Arial" w:hAnsi="Arial" w:cs="Arial"/>
              <w:sz w:val="15"/>
              <w:szCs w:val="15"/>
            </w:rPr>
            <w:t xml:space="preserve">Číslo stránky: </w:t>
          </w:r>
          <w:r w:rsidRPr="00B450E9">
            <w:rPr>
              <w:rFonts w:ascii="Arial" w:hAnsi="Arial" w:cs="Arial"/>
              <w:sz w:val="15"/>
              <w:szCs w:val="15"/>
            </w:rPr>
            <w:fldChar w:fldCharType="begin"/>
          </w:r>
          <w:r w:rsidRPr="00B450E9">
            <w:rPr>
              <w:rFonts w:ascii="Arial" w:hAnsi="Arial" w:cs="Arial"/>
              <w:sz w:val="15"/>
              <w:szCs w:val="15"/>
            </w:rPr>
            <w:instrText xml:space="preserve"> PAGE   \* MERGEFORMAT </w:instrText>
          </w:r>
          <w:r w:rsidRPr="00B450E9">
            <w:rPr>
              <w:rFonts w:ascii="Arial" w:hAnsi="Arial" w:cs="Arial"/>
              <w:sz w:val="15"/>
              <w:szCs w:val="15"/>
            </w:rPr>
            <w:fldChar w:fldCharType="separate"/>
          </w:r>
          <w:r w:rsidR="00723567">
            <w:rPr>
              <w:rFonts w:ascii="Arial" w:hAnsi="Arial" w:cs="Arial"/>
              <w:noProof/>
              <w:sz w:val="15"/>
              <w:szCs w:val="15"/>
            </w:rPr>
            <w:t>1</w:t>
          </w:r>
          <w:r w:rsidRPr="00B450E9">
            <w:rPr>
              <w:rFonts w:ascii="Arial" w:hAnsi="Arial" w:cs="Arial"/>
              <w:sz w:val="15"/>
              <w:szCs w:val="15"/>
            </w:rPr>
            <w:fldChar w:fldCharType="end"/>
          </w:r>
        </w:p>
      </w:tc>
      <w:tc>
        <w:tcPr>
          <w:tcW w:w="1842" w:type="dxa"/>
          <w:tcBorders>
            <w:bottom w:val="single" w:sz="4" w:space="0" w:color="auto"/>
          </w:tcBorders>
          <w:vAlign w:val="center"/>
        </w:tcPr>
        <w:p w:rsidR="000E0B15" w:rsidRPr="00B450E9" w:rsidRDefault="000E0B15" w:rsidP="00714007">
          <w:pPr>
            <w:tabs>
              <w:tab w:val="center" w:pos="4536"/>
              <w:tab w:val="right" w:pos="9072"/>
            </w:tabs>
            <w:jc w:val="center"/>
            <w:rPr>
              <w:rFonts w:ascii="Arial" w:hAnsi="Arial" w:cs="Arial"/>
              <w:sz w:val="15"/>
              <w:szCs w:val="15"/>
            </w:rPr>
          </w:pPr>
          <w:r w:rsidRPr="00B450E9">
            <w:rPr>
              <w:rFonts w:ascii="Arial" w:hAnsi="Arial" w:cs="Arial"/>
              <w:sz w:val="15"/>
              <w:szCs w:val="15"/>
            </w:rPr>
            <w:t xml:space="preserve">Počet stran: </w:t>
          </w:r>
          <w:r w:rsidRPr="00B450E9">
            <w:rPr>
              <w:rFonts w:ascii="Arial" w:hAnsi="Arial" w:cs="Arial"/>
              <w:sz w:val="15"/>
              <w:szCs w:val="15"/>
            </w:rPr>
            <w:fldChar w:fldCharType="begin"/>
          </w:r>
          <w:r w:rsidRPr="00B450E9">
            <w:rPr>
              <w:rFonts w:ascii="Arial" w:hAnsi="Arial" w:cs="Arial"/>
              <w:sz w:val="15"/>
              <w:szCs w:val="15"/>
            </w:rPr>
            <w:instrText xml:space="preserve"> NUMPAGES </w:instrText>
          </w:r>
          <w:r w:rsidRPr="00B450E9">
            <w:rPr>
              <w:rFonts w:ascii="Arial" w:hAnsi="Arial" w:cs="Arial"/>
              <w:sz w:val="15"/>
              <w:szCs w:val="15"/>
            </w:rPr>
            <w:fldChar w:fldCharType="separate"/>
          </w:r>
          <w:r w:rsidR="00723567">
            <w:rPr>
              <w:rFonts w:ascii="Arial" w:hAnsi="Arial" w:cs="Arial"/>
              <w:noProof/>
              <w:sz w:val="15"/>
              <w:szCs w:val="15"/>
            </w:rPr>
            <w:t>6</w:t>
          </w:r>
          <w:r w:rsidRPr="00B450E9">
            <w:rPr>
              <w:rFonts w:ascii="Arial" w:hAnsi="Arial" w:cs="Arial"/>
              <w:sz w:val="15"/>
              <w:szCs w:val="15"/>
            </w:rPr>
            <w:fldChar w:fldCharType="end"/>
          </w:r>
        </w:p>
      </w:tc>
    </w:tr>
  </w:tbl>
  <w:p w:rsidR="000E0B15" w:rsidRDefault="000E0B15" w:rsidP="00983E6D">
    <w:pPr>
      <w:pStyle w:val="Zhlav"/>
      <w:jc w:val="center"/>
      <w:rPr>
        <w:rFonts w:ascii="Arial" w:hAnsi="Arial" w:cs="Arial"/>
        <w:color w:val="000000"/>
        <w:sz w:val="15"/>
      </w:rPr>
    </w:pPr>
    <w:r w:rsidRPr="00983E6D">
      <w:rPr>
        <w:rFonts w:ascii="Arial" w:hAnsi="Arial" w:cs="Arial"/>
        <w:color w:val="000000"/>
        <w:sz w:val="15"/>
      </w:rPr>
      <w:t>Výtisk tohoto předpisu je pouze informativního charakteru, v případě nejasností je elektronická verze nadřazená verzi tištěné</w:t>
    </w:r>
    <w:r>
      <w:rPr>
        <w:rFonts w:ascii="Arial" w:hAnsi="Arial" w:cs="Arial"/>
        <w:color w:val="000000"/>
        <w:sz w:val="15"/>
      </w:rPr>
      <w:t>.</w:t>
    </w:r>
  </w:p>
  <w:p w:rsidR="00053A5C" w:rsidRPr="0079630F" w:rsidRDefault="00053A5C" w:rsidP="00983E6D">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539"/>
      <w:gridCol w:w="1929"/>
      <w:gridCol w:w="1843"/>
      <w:gridCol w:w="2177"/>
    </w:tblGrid>
    <w:tr w:rsidR="000E0B15" w:rsidTr="0079630F">
      <w:trPr>
        <w:cantSplit/>
        <w:trHeight w:hRule="exact" w:val="442"/>
      </w:trPr>
      <w:tc>
        <w:tcPr>
          <w:tcW w:w="2122" w:type="dxa"/>
          <w:vMerge w:val="restart"/>
          <w:vAlign w:val="center"/>
        </w:tcPr>
        <w:p w:rsidR="000E0B15" w:rsidRPr="004346D7" w:rsidRDefault="000E0B15" w:rsidP="0079630F">
          <w:pPr>
            <w:pStyle w:val="Zhlav"/>
            <w:tabs>
              <w:tab w:val="clear" w:pos="9072"/>
              <w:tab w:val="right" w:pos="9720"/>
            </w:tabs>
            <w:jc w:val="center"/>
            <w:rPr>
              <w:rFonts w:ascii="Arial" w:hAnsi="Arial" w:cs="Arial"/>
              <w:b/>
              <w:sz w:val="22"/>
              <w:szCs w:val="22"/>
            </w:rPr>
          </w:pPr>
          <w:r w:rsidRPr="004346D7">
            <w:rPr>
              <w:rFonts w:ascii="Arial" w:hAnsi="Arial" w:cs="Arial"/>
              <w:b/>
              <w:sz w:val="22"/>
              <w:szCs w:val="22"/>
            </w:rPr>
            <w:t>PPAS</w:t>
          </w:r>
        </w:p>
        <w:p w:rsidR="000E0B15" w:rsidRDefault="000E0B15" w:rsidP="0079630F">
          <w:pPr>
            <w:pStyle w:val="Zhlav"/>
            <w:tabs>
              <w:tab w:val="clear" w:pos="9072"/>
              <w:tab w:val="right" w:pos="9720"/>
            </w:tabs>
            <w:jc w:val="center"/>
            <w:rPr>
              <w:rFonts w:ascii="Arial" w:hAnsi="Arial" w:cs="Arial"/>
              <w:b/>
              <w:sz w:val="16"/>
            </w:rPr>
          </w:pPr>
          <w:r w:rsidRPr="004346D7">
            <w:rPr>
              <w:rFonts w:ascii="Arial" w:hAnsi="Arial" w:cs="Arial"/>
              <w:b/>
              <w:sz w:val="22"/>
              <w:szCs w:val="22"/>
            </w:rPr>
            <w:t>PTAS</w:t>
          </w:r>
        </w:p>
      </w:tc>
      <w:tc>
        <w:tcPr>
          <w:tcW w:w="5311" w:type="dxa"/>
          <w:gridSpan w:val="3"/>
          <w:tcBorders>
            <w:bottom w:val="nil"/>
          </w:tcBorders>
          <w:vAlign w:val="center"/>
        </w:tcPr>
        <w:p w:rsidR="000E0B15" w:rsidRDefault="000E0B15" w:rsidP="0079630F">
          <w:pPr>
            <w:pStyle w:val="Zhlav"/>
            <w:jc w:val="center"/>
            <w:rPr>
              <w:rFonts w:ascii="Arial" w:hAnsi="Arial" w:cs="Arial"/>
              <w:sz w:val="16"/>
            </w:rPr>
          </w:pPr>
          <w:r w:rsidRPr="004346D7">
            <w:rPr>
              <w:rFonts w:ascii="Arial Black" w:hAnsi="Arial Black"/>
              <w:sz w:val="24"/>
              <w:szCs w:val="24"/>
            </w:rPr>
            <w:t>SMĚRNICE</w:t>
          </w:r>
        </w:p>
      </w:tc>
      <w:tc>
        <w:tcPr>
          <w:tcW w:w="2177" w:type="dxa"/>
          <w:tcBorders>
            <w:bottom w:val="nil"/>
          </w:tcBorders>
          <w:vAlign w:val="center"/>
        </w:tcPr>
        <w:p w:rsidR="000E0B15" w:rsidRDefault="000E0B15" w:rsidP="0079630F">
          <w:pPr>
            <w:pStyle w:val="Zhlav"/>
            <w:rPr>
              <w:rFonts w:ascii="Arial" w:hAnsi="Arial" w:cs="Arial"/>
              <w:sz w:val="16"/>
            </w:rPr>
          </w:pPr>
          <w:r>
            <w:rPr>
              <w:rFonts w:ascii="Arial" w:hAnsi="Arial" w:cs="Arial"/>
              <w:sz w:val="16"/>
            </w:rPr>
            <w:t>Evidenční č.:</w:t>
          </w:r>
        </w:p>
      </w:tc>
    </w:tr>
    <w:tr w:rsidR="000E0B15" w:rsidTr="0079630F">
      <w:trPr>
        <w:cantSplit/>
        <w:trHeight w:val="399"/>
      </w:trPr>
      <w:tc>
        <w:tcPr>
          <w:tcW w:w="2122" w:type="dxa"/>
          <w:vMerge/>
          <w:tcBorders>
            <w:bottom w:val="single" w:sz="4" w:space="0" w:color="auto"/>
          </w:tcBorders>
        </w:tcPr>
        <w:p w:rsidR="000E0B15" w:rsidRDefault="000E0B15" w:rsidP="0079630F">
          <w:pPr>
            <w:pStyle w:val="Zhlav"/>
            <w:rPr>
              <w:rFonts w:ascii="Arial" w:hAnsi="Arial" w:cs="Arial"/>
              <w:sz w:val="16"/>
            </w:rPr>
          </w:pPr>
        </w:p>
      </w:tc>
      <w:tc>
        <w:tcPr>
          <w:tcW w:w="5311" w:type="dxa"/>
          <w:gridSpan w:val="3"/>
          <w:tcBorders>
            <w:top w:val="nil"/>
            <w:bottom w:val="single" w:sz="4" w:space="0" w:color="auto"/>
          </w:tcBorders>
          <w:vAlign w:val="center"/>
        </w:tcPr>
        <w:p w:rsidR="000E0B15" w:rsidRDefault="000E0B15" w:rsidP="0079630F">
          <w:pPr>
            <w:pStyle w:val="Zhlav"/>
            <w:jc w:val="center"/>
            <w:rPr>
              <w:rFonts w:ascii="Arial" w:hAnsi="Arial" w:cs="Arial"/>
              <w:sz w:val="28"/>
            </w:rPr>
          </w:pPr>
          <w:r>
            <w:rPr>
              <w:rFonts w:ascii="Arial Black" w:hAnsi="Arial Black"/>
              <w:sz w:val="24"/>
              <w:szCs w:val="24"/>
            </w:rPr>
            <w:t>Název směrnice</w:t>
          </w:r>
        </w:p>
      </w:tc>
      <w:tc>
        <w:tcPr>
          <w:tcW w:w="2177" w:type="dxa"/>
          <w:tcBorders>
            <w:top w:val="nil"/>
            <w:bottom w:val="single" w:sz="4" w:space="0" w:color="auto"/>
          </w:tcBorders>
          <w:vAlign w:val="center"/>
        </w:tcPr>
        <w:p w:rsidR="000E0B15" w:rsidRDefault="000E0B15" w:rsidP="0079630F">
          <w:pPr>
            <w:pStyle w:val="Zhlav"/>
            <w:jc w:val="center"/>
            <w:rPr>
              <w:rFonts w:ascii="Arial" w:hAnsi="Arial" w:cs="Arial"/>
              <w:sz w:val="22"/>
            </w:rPr>
          </w:pPr>
          <w:r>
            <w:rPr>
              <w:rFonts w:ascii="Arial" w:hAnsi="Arial" w:cs="Arial"/>
              <w:b/>
              <w:bCs/>
              <w:sz w:val="24"/>
              <w:szCs w:val="24"/>
            </w:rPr>
            <w:t>SM-TD-XX_</w:t>
          </w:r>
          <w:r w:rsidRPr="0079630F">
            <w:rPr>
              <w:rFonts w:ascii="Arial" w:hAnsi="Arial" w:cs="Arial"/>
              <w:b/>
              <w:bCs/>
              <w:sz w:val="24"/>
              <w:szCs w:val="24"/>
              <w:highlight w:val="yellow"/>
            </w:rPr>
            <w:t>CZ/SK</w:t>
          </w:r>
        </w:p>
      </w:tc>
    </w:tr>
    <w:tr w:rsidR="000E0B15" w:rsidRPr="0079630F" w:rsidTr="0079630F">
      <w:trPr>
        <w:cantSplit/>
        <w:trHeight w:val="279"/>
      </w:trPr>
      <w:tc>
        <w:tcPr>
          <w:tcW w:w="2122" w:type="dxa"/>
          <w:tcBorders>
            <w:bottom w:val="single" w:sz="4" w:space="0" w:color="auto"/>
          </w:tcBorders>
          <w:vAlign w:val="center"/>
        </w:tcPr>
        <w:p w:rsidR="000E0B15" w:rsidRPr="0079630F" w:rsidRDefault="000E0B15" w:rsidP="0079630F">
          <w:pPr>
            <w:pStyle w:val="Zhlav"/>
            <w:jc w:val="center"/>
            <w:rPr>
              <w:rFonts w:ascii="Arial" w:hAnsi="Arial" w:cs="Arial"/>
              <w:sz w:val="16"/>
              <w:szCs w:val="16"/>
            </w:rPr>
          </w:pPr>
          <w:r>
            <w:rPr>
              <w:rFonts w:ascii="Arial" w:hAnsi="Arial" w:cs="Arial"/>
              <w:sz w:val="16"/>
              <w:szCs w:val="16"/>
            </w:rPr>
            <w:t>Vydána dne:</w:t>
          </w:r>
          <w:r w:rsidRPr="0079630F">
            <w:rPr>
              <w:rFonts w:ascii="Arial" w:hAnsi="Arial" w:cs="Arial"/>
              <w:sz w:val="16"/>
              <w:szCs w:val="16"/>
            </w:rPr>
            <w:t xml:space="preserve"> 1.8.201</w:t>
          </w:r>
          <w:r>
            <w:rPr>
              <w:rFonts w:ascii="Arial" w:hAnsi="Arial" w:cs="Arial"/>
              <w:sz w:val="16"/>
              <w:szCs w:val="16"/>
            </w:rPr>
            <w:t>6</w:t>
          </w:r>
        </w:p>
      </w:tc>
      <w:tc>
        <w:tcPr>
          <w:tcW w:w="1539" w:type="dxa"/>
          <w:tcBorders>
            <w:bottom w:val="single" w:sz="4" w:space="0" w:color="auto"/>
          </w:tcBorders>
          <w:vAlign w:val="center"/>
        </w:tcPr>
        <w:p w:rsidR="000E0B15" w:rsidRPr="0079630F" w:rsidRDefault="000E0B15" w:rsidP="0079630F">
          <w:pPr>
            <w:pStyle w:val="Zhlav"/>
            <w:jc w:val="center"/>
            <w:rPr>
              <w:rFonts w:ascii="Arial" w:hAnsi="Arial" w:cs="Arial"/>
              <w:sz w:val="16"/>
              <w:szCs w:val="16"/>
            </w:rPr>
          </w:pPr>
          <w:r w:rsidRPr="0079630F">
            <w:rPr>
              <w:rFonts w:ascii="Arial" w:hAnsi="Arial" w:cs="Arial"/>
              <w:sz w:val="16"/>
              <w:szCs w:val="16"/>
            </w:rPr>
            <w:t xml:space="preserve">Revize č.: </w:t>
          </w:r>
          <w:r>
            <w:rPr>
              <w:rFonts w:ascii="Arial" w:hAnsi="Arial" w:cs="Arial"/>
              <w:sz w:val="16"/>
              <w:szCs w:val="16"/>
            </w:rPr>
            <w:t>2</w:t>
          </w:r>
        </w:p>
      </w:tc>
      <w:tc>
        <w:tcPr>
          <w:tcW w:w="1929" w:type="dxa"/>
          <w:tcBorders>
            <w:bottom w:val="single" w:sz="4" w:space="0" w:color="auto"/>
          </w:tcBorders>
          <w:vAlign w:val="center"/>
        </w:tcPr>
        <w:p w:rsidR="000E0B15" w:rsidRPr="0079630F" w:rsidRDefault="000E0B15" w:rsidP="0079630F">
          <w:pPr>
            <w:pStyle w:val="Zhlav"/>
            <w:jc w:val="center"/>
            <w:rPr>
              <w:rFonts w:ascii="Arial" w:hAnsi="Arial" w:cs="Arial"/>
              <w:sz w:val="16"/>
              <w:szCs w:val="16"/>
            </w:rPr>
          </w:pPr>
          <w:r>
            <w:rPr>
              <w:rFonts w:ascii="Arial" w:hAnsi="Arial" w:cs="Arial"/>
              <w:sz w:val="16"/>
              <w:szCs w:val="16"/>
            </w:rPr>
            <w:t xml:space="preserve">Účinnost od: 1.6.2017 </w:t>
          </w:r>
        </w:p>
      </w:tc>
      <w:tc>
        <w:tcPr>
          <w:tcW w:w="1843" w:type="dxa"/>
          <w:tcBorders>
            <w:bottom w:val="single" w:sz="4" w:space="0" w:color="auto"/>
          </w:tcBorders>
          <w:vAlign w:val="center"/>
        </w:tcPr>
        <w:p w:rsidR="000E0B15" w:rsidRPr="0079630F" w:rsidRDefault="000E0B15" w:rsidP="0079630F">
          <w:pPr>
            <w:pStyle w:val="Zhlav"/>
            <w:jc w:val="center"/>
            <w:rPr>
              <w:rFonts w:ascii="Arial" w:hAnsi="Arial" w:cs="Arial"/>
              <w:sz w:val="16"/>
              <w:szCs w:val="16"/>
            </w:rPr>
          </w:pPr>
          <w:r w:rsidRPr="0079630F">
            <w:rPr>
              <w:rFonts w:ascii="Arial" w:hAnsi="Arial" w:cs="Arial"/>
              <w:sz w:val="16"/>
              <w:szCs w:val="16"/>
            </w:rPr>
            <w:t xml:space="preserve">Číslo stránky: </w:t>
          </w:r>
          <w:r w:rsidRPr="0079630F">
            <w:rPr>
              <w:rFonts w:ascii="Arial" w:hAnsi="Arial" w:cs="Arial"/>
              <w:sz w:val="16"/>
              <w:szCs w:val="16"/>
            </w:rPr>
            <w:fldChar w:fldCharType="begin"/>
          </w:r>
          <w:r w:rsidRPr="0079630F">
            <w:rPr>
              <w:rFonts w:ascii="Arial" w:hAnsi="Arial" w:cs="Arial"/>
              <w:sz w:val="16"/>
              <w:szCs w:val="16"/>
            </w:rPr>
            <w:instrText xml:space="preserve"> PAGE   \* MERGEFORMAT </w:instrText>
          </w:r>
          <w:r w:rsidRPr="0079630F">
            <w:rPr>
              <w:rFonts w:ascii="Arial" w:hAnsi="Arial" w:cs="Arial"/>
              <w:sz w:val="16"/>
              <w:szCs w:val="16"/>
            </w:rPr>
            <w:fldChar w:fldCharType="separate"/>
          </w:r>
          <w:r>
            <w:rPr>
              <w:rFonts w:ascii="Arial" w:hAnsi="Arial" w:cs="Arial"/>
              <w:noProof/>
              <w:sz w:val="16"/>
              <w:szCs w:val="16"/>
            </w:rPr>
            <w:t>1</w:t>
          </w:r>
          <w:r w:rsidRPr="0079630F">
            <w:rPr>
              <w:rFonts w:ascii="Arial" w:hAnsi="Arial" w:cs="Arial"/>
              <w:sz w:val="16"/>
              <w:szCs w:val="16"/>
            </w:rPr>
            <w:fldChar w:fldCharType="end"/>
          </w:r>
        </w:p>
      </w:tc>
      <w:tc>
        <w:tcPr>
          <w:tcW w:w="2177" w:type="dxa"/>
          <w:tcBorders>
            <w:bottom w:val="single" w:sz="4" w:space="0" w:color="auto"/>
          </w:tcBorders>
          <w:vAlign w:val="center"/>
        </w:tcPr>
        <w:p w:rsidR="000E0B15" w:rsidRPr="0079630F" w:rsidRDefault="000E0B15" w:rsidP="0079630F">
          <w:pPr>
            <w:pStyle w:val="Zhlav"/>
            <w:jc w:val="center"/>
            <w:rPr>
              <w:rFonts w:ascii="Arial" w:hAnsi="Arial" w:cs="Arial"/>
              <w:sz w:val="16"/>
              <w:szCs w:val="16"/>
            </w:rPr>
          </w:pPr>
          <w:r w:rsidRPr="0079630F">
            <w:rPr>
              <w:rFonts w:ascii="Arial" w:hAnsi="Arial" w:cs="Arial"/>
              <w:sz w:val="16"/>
              <w:szCs w:val="16"/>
            </w:rPr>
            <w:t xml:space="preserve">Počet stran: </w:t>
          </w:r>
          <w:r w:rsidRPr="0079630F">
            <w:rPr>
              <w:rStyle w:val="slostrnky"/>
              <w:rFonts w:ascii="Arial" w:hAnsi="Arial" w:cs="Arial"/>
              <w:sz w:val="16"/>
              <w:szCs w:val="16"/>
            </w:rPr>
            <w:fldChar w:fldCharType="begin"/>
          </w:r>
          <w:r w:rsidRPr="0079630F">
            <w:rPr>
              <w:rStyle w:val="slostrnky"/>
              <w:rFonts w:ascii="Arial" w:hAnsi="Arial" w:cs="Arial"/>
              <w:sz w:val="16"/>
              <w:szCs w:val="16"/>
            </w:rPr>
            <w:instrText xml:space="preserve"> NUMPAGES </w:instrText>
          </w:r>
          <w:r w:rsidRPr="0079630F">
            <w:rPr>
              <w:rStyle w:val="slostrnky"/>
              <w:rFonts w:ascii="Arial" w:hAnsi="Arial" w:cs="Arial"/>
              <w:sz w:val="16"/>
              <w:szCs w:val="16"/>
            </w:rPr>
            <w:fldChar w:fldCharType="separate"/>
          </w:r>
          <w:r>
            <w:rPr>
              <w:rStyle w:val="slostrnky"/>
              <w:rFonts w:ascii="Arial" w:hAnsi="Arial" w:cs="Arial"/>
              <w:noProof/>
              <w:sz w:val="16"/>
              <w:szCs w:val="16"/>
            </w:rPr>
            <w:t>5</w:t>
          </w:r>
          <w:r w:rsidRPr="0079630F">
            <w:rPr>
              <w:rStyle w:val="slostrnky"/>
              <w:rFonts w:ascii="Arial" w:hAnsi="Arial" w:cs="Arial"/>
              <w:sz w:val="16"/>
              <w:szCs w:val="16"/>
            </w:rPr>
            <w:fldChar w:fldCharType="end"/>
          </w:r>
        </w:p>
      </w:tc>
    </w:tr>
  </w:tbl>
  <w:p w:rsidR="000E0B15" w:rsidRDefault="000E0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02A84"/>
    <w:multiLevelType w:val="hybridMultilevel"/>
    <w:tmpl w:val="1D8000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4A6137"/>
    <w:multiLevelType w:val="hybridMultilevel"/>
    <w:tmpl w:val="8F3681FE"/>
    <w:lvl w:ilvl="0" w:tplc="57EA114C">
      <w:start w:val="1"/>
      <w:numFmt w:val="lowerLetter"/>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A187908"/>
    <w:multiLevelType w:val="hybridMultilevel"/>
    <w:tmpl w:val="7B38BAC0"/>
    <w:lvl w:ilvl="0" w:tplc="D16E23F8">
      <w:start w:val="1"/>
      <w:numFmt w:val="lowerLetter"/>
      <w:lvlText w:val="%1)"/>
      <w:lvlJc w:val="left"/>
      <w:pPr>
        <w:tabs>
          <w:tab w:val="num" w:pos="360"/>
        </w:tabs>
        <w:ind w:left="360" w:hanging="360"/>
      </w:pPr>
      <w:rPr>
        <w:rFonts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4A1A1356"/>
    <w:multiLevelType w:val="hybridMultilevel"/>
    <w:tmpl w:val="C88E8D90"/>
    <w:lvl w:ilvl="0" w:tplc="4726ECDA">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AE8584B"/>
    <w:multiLevelType w:val="multilevel"/>
    <w:tmpl w:val="F7D8AD62"/>
    <w:lvl w:ilvl="0">
      <w:start w:val="1"/>
      <w:numFmt w:val="decimal"/>
      <w:pStyle w:val="NadpisA"/>
      <w:lvlText w:val="%1."/>
      <w:lvlJc w:val="left"/>
      <w:pPr>
        <w:tabs>
          <w:tab w:val="num" w:pos="-349"/>
        </w:tabs>
        <w:ind w:left="-349" w:hanging="360"/>
      </w:pPr>
      <w:rPr>
        <w:rFonts w:hint="default"/>
      </w:rPr>
    </w:lvl>
    <w:lvl w:ilvl="1">
      <w:start w:val="1"/>
      <w:numFmt w:val="decimal"/>
      <w:pStyle w:val="Nadpis2"/>
      <w:lvlText w:val="%1.%2."/>
      <w:lvlJc w:val="left"/>
      <w:pPr>
        <w:tabs>
          <w:tab w:val="num" w:pos="371"/>
        </w:tabs>
        <w:ind w:left="83" w:hanging="432"/>
      </w:pPr>
      <w:rPr>
        <w:rFonts w:hint="default"/>
      </w:rPr>
    </w:lvl>
    <w:lvl w:ilvl="2">
      <w:start w:val="1"/>
      <w:numFmt w:val="decimal"/>
      <w:pStyle w:val="Nadpis3"/>
      <w:lvlText w:val="%1.%2.%3."/>
      <w:lvlJc w:val="left"/>
      <w:pPr>
        <w:tabs>
          <w:tab w:val="num" w:pos="731"/>
        </w:tabs>
        <w:ind w:left="515" w:hanging="504"/>
      </w:pPr>
      <w:rPr>
        <w:rFonts w:hint="default"/>
      </w:rPr>
    </w:lvl>
    <w:lvl w:ilvl="3">
      <w:start w:val="1"/>
      <w:numFmt w:val="decimal"/>
      <w:pStyle w:val="Nadpis4"/>
      <w:lvlText w:val="%1.%2.%3.%4."/>
      <w:lvlJc w:val="left"/>
      <w:pPr>
        <w:tabs>
          <w:tab w:val="num" w:pos="1448"/>
        </w:tabs>
        <w:ind w:left="1162" w:hanging="794"/>
      </w:pPr>
      <w:rPr>
        <w:rFonts w:hint="default"/>
      </w:rPr>
    </w:lvl>
    <w:lvl w:ilvl="4">
      <w:start w:val="1"/>
      <w:numFmt w:val="decimal"/>
      <w:pStyle w:val="Nadpis10"/>
      <w:lvlText w:val="%1.%2.%3.%4.%5."/>
      <w:lvlJc w:val="left"/>
      <w:pPr>
        <w:tabs>
          <w:tab w:val="num" w:pos="1523"/>
        </w:tabs>
        <w:ind w:left="1523" w:hanging="792"/>
      </w:pPr>
      <w:rPr>
        <w:rFonts w:hint="default"/>
      </w:rPr>
    </w:lvl>
    <w:lvl w:ilvl="5">
      <w:start w:val="1"/>
      <w:numFmt w:val="decimal"/>
      <w:lvlText w:val="%1.%2.%3.%4.%5.%6."/>
      <w:lvlJc w:val="left"/>
      <w:pPr>
        <w:tabs>
          <w:tab w:val="num" w:pos="2027"/>
        </w:tabs>
        <w:ind w:left="2027" w:hanging="936"/>
      </w:pPr>
      <w:rPr>
        <w:rFonts w:hint="default"/>
      </w:rPr>
    </w:lvl>
    <w:lvl w:ilvl="6">
      <w:start w:val="1"/>
      <w:numFmt w:val="decimal"/>
      <w:lvlText w:val="%1.%2.%3.%4.%5.%6.%7."/>
      <w:lvlJc w:val="left"/>
      <w:pPr>
        <w:tabs>
          <w:tab w:val="num" w:pos="2531"/>
        </w:tabs>
        <w:ind w:left="2531" w:hanging="1080"/>
      </w:pPr>
      <w:rPr>
        <w:rFonts w:hint="default"/>
      </w:rPr>
    </w:lvl>
    <w:lvl w:ilvl="7">
      <w:start w:val="1"/>
      <w:numFmt w:val="decimal"/>
      <w:lvlText w:val="%1.%2.%3.%4.%5.%6.%7.%8."/>
      <w:lvlJc w:val="left"/>
      <w:pPr>
        <w:tabs>
          <w:tab w:val="num" w:pos="3035"/>
        </w:tabs>
        <w:ind w:left="3035" w:hanging="1224"/>
      </w:pPr>
      <w:rPr>
        <w:rFonts w:hint="default"/>
      </w:rPr>
    </w:lvl>
    <w:lvl w:ilvl="8">
      <w:start w:val="1"/>
      <w:numFmt w:val="decimal"/>
      <w:lvlText w:val="%1.%2.%3.%4.%5.%6.%7.%8.%9."/>
      <w:lvlJc w:val="left"/>
      <w:pPr>
        <w:tabs>
          <w:tab w:val="num" w:pos="3611"/>
        </w:tabs>
        <w:ind w:left="3611" w:hanging="1440"/>
      </w:pPr>
      <w:rPr>
        <w:rFonts w:hint="default"/>
      </w:rPr>
    </w:lvl>
  </w:abstractNum>
  <w:num w:numId="1">
    <w:abstractNumId w:val="4"/>
  </w:num>
  <w:num w:numId="2">
    <w:abstractNumId w:val="4"/>
    <w:lvlOverride w:ilvl="0">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4"/>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F12"/>
    <w:rsid w:val="000303DA"/>
    <w:rsid w:val="00052FA3"/>
    <w:rsid w:val="00053A5C"/>
    <w:rsid w:val="00057E74"/>
    <w:rsid w:val="000615C5"/>
    <w:rsid w:val="00070838"/>
    <w:rsid w:val="00087ACA"/>
    <w:rsid w:val="00090E61"/>
    <w:rsid w:val="0009566C"/>
    <w:rsid w:val="000E0B15"/>
    <w:rsid w:val="001215A4"/>
    <w:rsid w:val="001A04AC"/>
    <w:rsid w:val="001A331F"/>
    <w:rsid w:val="00211F56"/>
    <w:rsid w:val="00244A46"/>
    <w:rsid w:val="002B216F"/>
    <w:rsid w:val="002B45AF"/>
    <w:rsid w:val="00312A3D"/>
    <w:rsid w:val="00333C6A"/>
    <w:rsid w:val="003373E1"/>
    <w:rsid w:val="0034743E"/>
    <w:rsid w:val="00354BDB"/>
    <w:rsid w:val="0038230F"/>
    <w:rsid w:val="00382DC6"/>
    <w:rsid w:val="0038703A"/>
    <w:rsid w:val="003A3441"/>
    <w:rsid w:val="003C2090"/>
    <w:rsid w:val="003D5AD1"/>
    <w:rsid w:val="003F7B15"/>
    <w:rsid w:val="00406337"/>
    <w:rsid w:val="00454F59"/>
    <w:rsid w:val="00461C80"/>
    <w:rsid w:val="0046777B"/>
    <w:rsid w:val="00467E19"/>
    <w:rsid w:val="00475364"/>
    <w:rsid w:val="00486F5B"/>
    <w:rsid w:val="00492023"/>
    <w:rsid w:val="004A5D88"/>
    <w:rsid w:val="00505FD6"/>
    <w:rsid w:val="00536A91"/>
    <w:rsid w:val="00574DB0"/>
    <w:rsid w:val="00590A5E"/>
    <w:rsid w:val="005B32D5"/>
    <w:rsid w:val="005E6BD8"/>
    <w:rsid w:val="00605CC1"/>
    <w:rsid w:val="0061787F"/>
    <w:rsid w:val="00666FC9"/>
    <w:rsid w:val="006775EE"/>
    <w:rsid w:val="00685380"/>
    <w:rsid w:val="006A5867"/>
    <w:rsid w:val="006B057A"/>
    <w:rsid w:val="006B2E7C"/>
    <w:rsid w:val="006C73C6"/>
    <w:rsid w:val="00714007"/>
    <w:rsid w:val="00715B5A"/>
    <w:rsid w:val="00723567"/>
    <w:rsid w:val="0076062B"/>
    <w:rsid w:val="00766608"/>
    <w:rsid w:val="00787522"/>
    <w:rsid w:val="0079630F"/>
    <w:rsid w:val="007A06D6"/>
    <w:rsid w:val="007C4F6B"/>
    <w:rsid w:val="0083137E"/>
    <w:rsid w:val="00831A07"/>
    <w:rsid w:val="00837F88"/>
    <w:rsid w:val="0085433D"/>
    <w:rsid w:val="00860140"/>
    <w:rsid w:val="008678A1"/>
    <w:rsid w:val="008B0AD1"/>
    <w:rsid w:val="008D3E48"/>
    <w:rsid w:val="008E4B10"/>
    <w:rsid w:val="00902047"/>
    <w:rsid w:val="00917A3D"/>
    <w:rsid w:val="009279ED"/>
    <w:rsid w:val="00963816"/>
    <w:rsid w:val="00976474"/>
    <w:rsid w:val="00983E6D"/>
    <w:rsid w:val="009905B4"/>
    <w:rsid w:val="00990946"/>
    <w:rsid w:val="00993FB6"/>
    <w:rsid w:val="009A68D4"/>
    <w:rsid w:val="009D79D4"/>
    <w:rsid w:val="00A243B1"/>
    <w:rsid w:val="00A26FF5"/>
    <w:rsid w:val="00A30C02"/>
    <w:rsid w:val="00A51C1D"/>
    <w:rsid w:val="00AA2F68"/>
    <w:rsid w:val="00AB176F"/>
    <w:rsid w:val="00AB45D7"/>
    <w:rsid w:val="00AF7AEF"/>
    <w:rsid w:val="00B014C0"/>
    <w:rsid w:val="00B450E9"/>
    <w:rsid w:val="00B56255"/>
    <w:rsid w:val="00B72E25"/>
    <w:rsid w:val="00B94907"/>
    <w:rsid w:val="00B950ED"/>
    <w:rsid w:val="00BD0497"/>
    <w:rsid w:val="00BE4E26"/>
    <w:rsid w:val="00C31F35"/>
    <w:rsid w:val="00C40E59"/>
    <w:rsid w:val="00C632B7"/>
    <w:rsid w:val="00CB0325"/>
    <w:rsid w:val="00CB659D"/>
    <w:rsid w:val="00CD35E1"/>
    <w:rsid w:val="00CF6522"/>
    <w:rsid w:val="00D16C14"/>
    <w:rsid w:val="00D270B2"/>
    <w:rsid w:val="00D400AA"/>
    <w:rsid w:val="00D52724"/>
    <w:rsid w:val="00DD7C4E"/>
    <w:rsid w:val="00DF1B11"/>
    <w:rsid w:val="00E15703"/>
    <w:rsid w:val="00E54699"/>
    <w:rsid w:val="00E9090E"/>
    <w:rsid w:val="00EB360A"/>
    <w:rsid w:val="00EE703D"/>
    <w:rsid w:val="00F07A83"/>
    <w:rsid w:val="00F11566"/>
    <w:rsid w:val="00F24AC5"/>
    <w:rsid w:val="00F37656"/>
    <w:rsid w:val="00F428EB"/>
    <w:rsid w:val="00F530D8"/>
    <w:rsid w:val="00F63A12"/>
    <w:rsid w:val="00FD0F12"/>
    <w:rsid w:val="00FD29A7"/>
    <w:rsid w:val="00FD427C"/>
    <w:rsid w:val="00FD745E"/>
    <w:rsid w:val="00FE0A9C"/>
    <w:rsid w:val="00FF4FAC"/>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7A318"/>
  <w15:docId w15:val="{76298F16-9A93-4EE8-9A43-9D01E2A4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aliases w:val="h2,e2,MHF 2,h2 main heading,B Sub/Bold,12 Sub/Bold"/>
    <w:basedOn w:val="Normln"/>
    <w:next w:val="Normln"/>
    <w:qFormat/>
    <w:pPr>
      <w:keepNext/>
      <w:numPr>
        <w:ilvl w:val="1"/>
        <w:numId w:val="1"/>
      </w:numPr>
      <w:spacing w:before="200" w:after="120"/>
      <w:outlineLvl w:val="1"/>
    </w:pPr>
    <w:rPr>
      <w:b/>
      <w:sz w:val="24"/>
    </w:rPr>
  </w:style>
  <w:style w:type="paragraph" w:styleId="Nadpis3">
    <w:name w:val="heading 3"/>
    <w:aliases w:val="e3,MHF 3,h3,h3 sub heading,C Sub-Sub/Italic,13 Sub-Sub/Italic,V_Head3,Podkapitola podkapitoly základní kapitoly"/>
    <w:basedOn w:val="Normln"/>
    <w:next w:val="Normln"/>
    <w:autoRedefine/>
    <w:qFormat/>
    <w:pPr>
      <w:keepNext/>
      <w:numPr>
        <w:ilvl w:val="2"/>
        <w:numId w:val="1"/>
      </w:numPr>
      <w:tabs>
        <w:tab w:val="num" w:pos="360"/>
      </w:tabs>
      <w:spacing w:after="120"/>
      <w:ind w:left="360" w:hanging="360"/>
      <w:outlineLvl w:val="2"/>
    </w:pPr>
    <w:rPr>
      <w:b/>
      <w:bCs/>
      <w:i/>
      <w:iCs/>
      <w:sz w:val="24"/>
    </w:rPr>
  </w:style>
  <w:style w:type="paragraph" w:styleId="Nadpis4">
    <w:name w:val="heading 4"/>
    <w:basedOn w:val="Normln"/>
    <w:next w:val="Normln"/>
    <w:link w:val="Nadpis4Char"/>
    <w:qFormat/>
    <w:pPr>
      <w:keepNext/>
      <w:numPr>
        <w:ilvl w:val="3"/>
        <w:numId w:val="1"/>
      </w:numPr>
      <w:spacing w:before="120" w:after="60"/>
      <w:outlineLvl w:val="3"/>
    </w:pPr>
    <w:rPr>
      <w:i/>
      <w:sz w:val="24"/>
    </w:rPr>
  </w:style>
  <w:style w:type="paragraph" w:styleId="Nadpis5">
    <w:name w:val="heading 5"/>
    <w:basedOn w:val="Normln"/>
    <w:next w:val="Normln"/>
    <w:qFormat/>
    <w:pPr>
      <w:spacing w:before="240" w:after="60"/>
      <w:outlineLvl w:val="4"/>
    </w:pPr>
    <w:rPr>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4"/>
    </w:rPr>
  </w:style>
  <w:style w:type="paragraph" w:styleId="Rozloendokumentu">
    <w:name w:val="Document Map"/>
    <w:basedOn w:val="Normln"/>
    <w:semiHidden/>
    <w:pPr>
      <w:shd w:val="clear" w:color="auto" w:fill="000080"/>
    </w:pPr>
    <w:rPr>
      <w:rFonts w:ascii="Tahoma" w:hAnsi="Tahoma"/>
    </w:rPr>
  </w:style>
  <w:style w:type="paragraph" w:styleId="Zkladntext">
    <w:name w:val="Body Text"/>
    <w:aliases w:val="b,bt,body text,t1,taten_body,block,Body Text 1,NoticeText-List"/>
    <w:basedOn w:val="Normln"/>
    <w:link w:val="ZkladntextChar"/>
    <w:uiPriority w:val="99"/>
    <w:pPr>
      <w:ind w:right="-285"/>
    </w:pPr>
    <w:rPr>
      <w:sz w:val="24"/>
    </w:rPr>
  </w:style>
  <w:style w:type="paragraph" w:styleId="Zkladntext2">
    <w:name w:val="Body Text 2"/>
    <w:aliases w:val="b2"/>
    <w:basedOn w:val="Normln"/>
    <w:semiHidden/>
    <w:rPr>
      <w:sz w:val="24"/>
    </w:rPr>
  </w:style>
  <w:style w:type="paragraph" w:styleId="Zkladntextodsazen">
    <w:name w:val="Body Text Indent"/>
    <w:basedOn w:val="Normln"/>
    <w:semiHidden/>
    <w:pPr>
      <w:ind w:left="709"/>
      <w:jc w:val="both"/>
    </w:pPr>
    <w:rPr>
      <w:sz w:val="24"/>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semiHidden/>
    <w:pPr>
      <w:ind w:left="720"/>
    </w:pPr>
    <w:rPr>
      <w:sz w:val="24"/>
    </w:rPr>
  </w:style>
  <w:style w:type="character" w:styleId="Hypertextovodkaz">
    <w:name w:val="Hyperlink"/>
    <w:uiPriority w:val="99"/>
    <w:rPr>
      <w:color w:val="0000FF"/>
      <w:u w:val="single"/>
    </w:rPr>
  </w:style>
  <w:style w:type="paragraph" w:styleId="Zhlav">
    <w:name w:val="header"/>
    <w:basedOn w:val="Normln"/>
    <w:link w:val="ZhlavChar"/>
    <w:pPr>
      <w:tabs>
        <w:tab w:val="center" w:pos="4536"/>
        <w:tab w:val="right" w:pos="9072"/>
      </w:tabs>
    </w:pPr>
  </w:style>
  <w:style w:type="paragraph" w:styleId="Obsah6">
    <w:name w:val="toc 6"/>
    <w:basedOn w:val="Normln"/>
    <w:next w:val="Normln"/>
    <w:autoRedefine/>
    <w:semiHidden/>
    <w:pPr>
      <w:ind w:left="1000"/>
    </w:pPr>
    <w:rPr>
      <w:szCs w:val="21"/>
    </w:rPr>
  </w:style>
  <w:style w:type="paragraph" w:styleId="Prosttext">
    <w:name w:val="Plain Text"/>
    <w:basedOn w:val="Normln"/>
    <w:semiHidden/>
    <w:pPr>
      <w:jc w:val="both"/>
    </w:pPr>
    <w:rPr>
      <w:rFonts w:ascii="Courier New" w:hAnsi="Courier New"/>
    </w:rPr>
  </w:style>
  <w:style w:type="paragraph" w:styleId="Obsah5">
    <w:name w:val="toc 5"/>
    <w:basedOn w:val="Normln"/>
    <w:next w:val="Normln"/>
    <w:autoRedefine/>
    <w:semiHidden/>
    <w:pPr>
      <w:ind w:left="800"/>
    </w:pPr>
    <w:rPr>
      <w:szCs w:val="21"/>
    </w:rPr>
  </w:style>
  <w:style w:type="paragraph" w:styleId="Obsah1">
    <w:name w:val="toc 1"/>
    <w:basedOn w:val="Normln"/>
    <w:next w:val="Normln"/>
    <w:autoRedefine/>
    <w:uiPriority w:val="39"/>
    <w:pPr>
      <w:spacing w:before="120" w:after="120"/>
    </w:pPr>
    <w:rPr>
      <w:b/>
      <w:bCs/>
      <w:caps/>
      <w:szCs w:val="24"/>
    </w:rPr>
  </w:style>
  <w:style w:type="paragraph" w:styleId="Obsah2">
    <w:name w:val="toc 2"/>
    <w:basedOn w:val="Normln"/>
    <w:next w:val="Normln"/>
    <w:autoRedefine/>
    <w:uiPriority w:val="39"/>
    <w:pPr>
      <w:ind w:left="200"/>
    </w:pPr>
    <w:rPr>
      <w:smallCaps/>
      <w:szCs w:val="24"/>
    </w:rPr>
  </w:style>
  <w:style w:type="paragraph" w:styleId="Obsah3">
    <w:name w:val="toc 3"/>
    <w:basedOn w:val="Normln"/>
    <w:next w:val="Normln"/>
    <w:autoRedefine/>
    <w:semiHidden/>
    <w:pPr>
      <w:ind w:left="400"/>
    </w:pPr>
    <w:rPr>
      <w:i/>
      <w:iCs/>
      <w:szCs w:val="24"/>
    </w:rPr>
  </w:style>
  <w:style w:type="paragraph" w:styleId="Obsah4">
    <w:name w:val="toc 4"/>
    <w:basedOn w:val="Normln"/>
    <w:next w:val="Normln"/>
    <w:autoRedefine/>
    <w:semiHidden/>
    <w:pPr>
      <w:ind w:left="600"/>
    </w:pPr>
    <w:rPr>
      <w:szCs w:val="21"/>
    </w:rPr>
  </w:style>
  <w:style w:type="paragraph" w:styleId="Obsah7">
    <w:name w:val="toc 7"/>
    <w:basedOn w:val="Normln"/>
    <w:next w:val="Normln"/>
    <w:autoRedefine/>
    <w:semiHidden/>
    <w:pPr>
      <w:ind w:left="1200"/>
    </w:pPr>
    <w:rPr>
      <w:szCs w:val="21"/>
    </w:rPr>
  </w:style>
  <w:style w:type="paragraph" w:styleId="Obsah8">
    <w:name w:val="toc 8"/>
    <w:basedOn w:val="Normln"/>
    <w:next w:val="Normln"/>
    <w:autoRedefine/>
    <w:semiHidden/>
    <w:pPr>
      <w:ind w:left="1400"/>
    </w:pPr>
    <w:rPr>
      <w:szCs w:val="21"/>
    </w:rPr>
  </w:style>
  <w:style w:type="paragraph" w:styleId="Obsah9">
    <w:name w:val="toc 9"/>
    <w:basedOn w:val="Normln"/>
    <w:next w:val="Normln"/>
    <w:autoRedefine/>
    <w:semiHidden/>
    <w:pPr>
      <w:ind w:left="1600"/>
    </w:pPr>
    <w:rPr>
      <w:szCs w:val="21"/>
    </w:rPr>
  </w:style>
  <w:style w:type="paragraph" w:customStyle="1" w:styleId="NadpisA">
    <w:name w:val="Nadpis A"/>
    <w:basedOn w:val="Nadpis1"/>
    <w:pPr>
      <w:numPr>
        <w:numId w:val="1"/>
      </w:numPr>
      <w:spacing w:after="120"/>
    </w:pPr>
    <w:rPr>
      <w:rFonts w:ascii="Times New Roman" w:hAnsi="Times New Roman"/>
      <w:bCs/>
      <w:smallCaps/>
      <w:kern w:val="0"/>
      <w:sz w:val="24"/>
      <w:szCs w:val="24"/>
    </w:rPr>
  </w:style>
  <w:style w:type="paragraph" w:styleId="Rejstk1">
    <w:name w:val="index 1"/>
    <w:basedOn w:val="Normln"/>
    <w:next w:val="Normln"/>
    <w:autoRedefine/>
    <w:semiHidden/>
    <w:pPr>
      <w:ind w:left="200" w:hanging="200"/>
    </w:pPr>
  </w:style>
  <w:style w:type="paragraph" w:customStyle="1" w:styleId="Nadpis10">
    <w:name w:val="Nadpis 10"/>
    <w:basedOn w:val="Nadpis5"/>
    <w:next w:val="Prosttext"/>
    <w:pPr>
      <w:keepNext/>
      <w:numPr>
        <w:ilvl w:val="4"/>
        <w:numId w:val="1"/>
      </w:numPr>
      <w:spacing w:before="0" w:after="0"/>
      <w:jc w:val="both"/>
    </w:pPr>
    <w:rPr>
      <w:b/>
      <w:sz w:val="24"/>
    </w:rPr>
  </w:style>
  <w:style w:type="character" w:styleId="Sledovanodkaz">
    <w:name w:val="FollowedHyperlink"/>
    <w:semiHidden/>
    <w:rPr>
      <w:color w:val="800080"/>
      <w:u w:val="single"/>
    </w:rPr>
  </w:style>
  <w:style w:type="paragraph" w:styleId="Zkladntextodsazen3">
    <w:name w:val="Body Text Indent 3"/>
    <w:basedOn w:val="Normln"/>
    <w:semiHidden/>
    <w:pPr>
      <w:ind w:left="1134"/>
    </w:pPr>
    <w:rPr>
      <w:sz w:val="24"/>
    </w:rPr>
  </w:style>
  <w:style w:type="paragraph" w:styleId="Zkladntext3">
    <w:name w:val="Body Text 3"/>
    <w:basedOn w:val="Normln"/>
    <w:link w:val="Zkladntext3Char"/>
    <w:uiPriority w:val="99"/>
    <w:pPr>
      <w:jc w:val="both"/>
    </w:pPr>
    <w:rPr>
      <w:sz w:val="24"/>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Normlnweb">
    <w:name w:val="Normal (Web)"/>
    <w:basedOn w:val="Normln"/>
    <w:semiHidden/>
    <w:rPr>
      <w:sz w:val="24"/>
      <w:szCs w:val="24"/>
    </w:rPr>
  </w:style>
  <w:style w:type="paragraph" w:styleId="Rejstk2">
    <w:name w:val="index 2"/>
    <w:basedOn w:val="Normln"/>
    <w:next w:val="Normln"/>
    <w:autoRedefine/>
    <w:semiHidden/>
    <w:pPr>
      <w:ind w:left="400" w:hanging="200"/>
    </w:pPr>
  </w:style>
  <w:style w:type="paragraph" w:styleId="Rejstk3">
    <w:name w:val="index 3"/>
    <w:basedOn w:val="Normln"/>
    <w:next w:val="Normln"/>
    <w:autoRedefine/>
    <w:semiHidden/>
    <w:pPr>
      <w:ind w:left="600" w:hanging="200"/>
    </w:pPr>
  </w:style>
  <w:style w:type="paragraph" w:styleId="Rejstk4">
    <w:name w:val="index 4"/>
    <w:basedOn w:val="Normln"/>
    <w:next w:val="Normln"/>
    <w:autoRedefine/>
    <w:semiHidden/>
    <w:pPr>
      <w:ind w:left="800" w:hanging="200"/>
    </w:pPr>
  </w:style>
  <w:style w:type="paragraph" w:styleId="Rejstk5">
    <w:name w:val="index 5"/>
    <w:basedOn w:val="Normln"/>
    <w:next w:val="Normln"/>
    <w:autoRedefine/>
    <w:semiHidden/>
    <w:pPr>
      <w:ind w:left="1000" w:hanging="200"/>
    </w:pPr>
  </w:style>
  <w:style w:type="paragraph" w:styleId="Rejstk6">
    <w:name w:val="index 6"/>
    <w:basedOn w:val="Normln"/>
    <w:next w:val="Normln"/>
    <w:autoRedefine/>
    <w:semiHidden/>
    <w:pPr>
      <w:ind w:left="1200" w:hanging="200"/>
    </w:pPr>
  </w:style>
  <w:style w:type="paragraph" w:styleId="Rejstk7">
    <w:name w:val="index 7"/>
    <w:basedOn w:val="Normln"/>
    <w:next w:val="Normln"/>
    <w:autoRedefine/>
    <w:semiHidden/>
    <w:pPr>
      <w:ind w:left="1400" w:hanging="200"/>
    </w:pPr>
  </w:style>
  <w:style w:type="paragraph" w:styleId="Rejstk8">
    <w:name w:val="index 8"/>
    <w:basedOn w:val="Normln"/>
    <w:next w:val="Normln"/>
    <w:autoRedefine/>
    <w:semiHidden/>
    <w:pPr>
      <w:ind w:left="1600" w:hanging="200"/>
    </w:pPr>
  </w:style>
  <w:style w:type="paragraph" w:styleId="Rejstk9">
    <w:name w:val="index 9"/>
    <w:basedOn w:val="Normln"/>
    <w:next w:val="Normln"/>
    <w:autoRedefine/>
    <w:semiHidden/>
    <w:pPr>
      <w:ind w:left="1800" w:hanging="200"/>
    </w:pPr>
  </w:style>
  <w:style w:type="paragraph" w:styleId="Hlavikarejstku">
    <w:name w:val="index heading"/>
    <w:basedOn w:val="Normln"/>
    <w:next w:val="Rejstk1"/>
    <w:semiHidden/>
  </w:style>
  <w:style w:type="paragraph" w:styleId="Textbubliny">
    <w:name w:val="Balloon Text"/>
    <w:basedOn w:val="Normln"/>
    <w:semiHidden/>
    <w:rPr>
      <w:rFonts w:ascii="Tahoma" w:hAnsi="Tahoma" w:cs="Tahoma"/>
      <w:sz w:val="16"/>
      <w:szCs w:val="16"/>
    </w:rPr>
  </w:style>
  <w:style w:type="character" w:customStyle="1" w:styleId="ZpatChar">
    <w:name w:val="Zápatí Char"/>
    <w:link w:val="Zpat"/>
    <w:uiPriority w:val="99"/>
    <w:locked/>
    <w:rsid w:val="00382DC6"/>
  </w:style>
  <w:style w:type="character" w:customStyle="1" w:styleId="ZhlavChar">
    <w:name w:val="Záhlaví Char"/>
    <w:link w:val="Zhlav"/>
    <w:uiPriority w:val="99"/>
    <w:locked/>
    <w:rsid w:val="0079630F"/>
  </w:style>
  <w:style w:type="character" w:customStyle="1" w:styleId="ZkladntextChar">
    <w:name w:val="Základní text Char"/>
    <w:aliases w:val="b Char,bt Char,body text Char,t1 Char,taten_body Char,block Char,Body Text 1 Char,NoticeText-List Char"/>
    <w:link w:val="Zkladntext"/>
    <w:uiPriority w:val="99"/>
    <w:locked/>
    <w:rsid w:val="000615C5"/>
    <w:rPr>
      <w:sz w:val="24"/>
    </w:rPr>
  </w:style>
  <w:style w:type="character" w:customStyle="1" w:styleId="Zkladntext3Char">
    <w:name w:val="Základní text 3 Char"/>
    <w:link w:val="Zkladntext3"/>
    <w:uiPriority w:val="99"/>
    <w:rsid w:val="00D16C14"/>
    <w:rPr>
      <w:sz w:val="24"/>
    </w:rPr>
  </w:style>
  <w:style w:type="character" w:customStyle="1" w:styleId="Nadpis4Char">
    <w:name w:val="Nadpis 4 Char"/>
    <w:link w:val="Nadpis4"/>
    <w:rsid w:val="00475364"/>
    <w:rPr>
      <w:i/>
      <w:sz w:val="24"/>
    </w:rPr>
  </w:style>
  <w:style w:type="character" w:styleId="Odkaznakoment">
    <w:name w:val="annotation reference"/>
    <w:uiPriority w:val="99"/>
    <w:semiHidden/>
    <w:unhideWhenUsed/>
    <w:rsid w:val="00FD745E"/>
    <w:rPr>
      <w:sz w:val="16"/>
      <w:szCs w:val="16"/>
    </w:rPr>
  </w:style>
  <w:style w:type="paragraph" w:styleId="Textkomente">
    <w:name w:val="annotation text"/>
    <w:basedOn w:val="Normln"/>
    <w:link w:val="TextkomenteChar"/>
    <w:uiPriority w:val="99"/>
    <w:semiHidden/>
    <w:unhideWhenUsed/>
    <w:rsid w:val="00FD745E"/>
  </w:style>
  <w:style w:type="character" w:customStyle="1" w:styleId="TextkomenteChar">
    <w:name w:val="Text komentáře Char"/>
    <w:basedOn w:val="Standardnpsmoodstavce"/>
    <w:link w:val="Textkomente"/>
    <w:uiPriority w:val="99"/>
    <w:semiHidden/>
    <w:rsid w:val="00FD745E"/>
  </w:style>
  <w:style w:type="paragraph" w:styleId="Pedmtkomente">
    <w:name w:val="annotation subject"/>
    <w:basedOn w:val="Textkomente"/>
    <w:next w:val="Textkomente"/>
    <w:link w:val="PedmtkomenteChar"/>
    <w:uiPriority w:val="99"/>
    <w:semiHidden/>
    <w:unhideWhenUsed/>
    <w:rsid w:val="00FD745E"/>
    <w:rPr>
      <w:b/>
      <w:bCs/>
    </w:rPr>
  </w:style>
  <w:style w:type="character" w:customStyle="1" w:styleId="PedmtkomenteChar">
    <w:name w:val="Předmět komentáře Char"/>
    <w:link w:val="Pedmtkomente"/>
    <w:uiPriority w:val="99"/>
    <w:semiHidden/>
    <w:rsid w:val="00FD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09536">
      <w:bodyDiv w:val="1"/>
      <w:marLeft w:val="0"/>
      <w:marRight w:val="0"/>
      <w:marTop w:val="0"/>
      <w:marBottom w:val="0"/>
      <w:divBdr>
        <w:top w:val="none" w:sz="0" w:space="0" w:color="auto"/>
        <w:left w:val="none" w:sz="0" w:space="0" w:color="auto"/>
        <w:bottom w:val="none" w:sz="0" w:space="0" w:color="auto"/>
        <w:right w:val="none" w:sz="0" w:space="0" w:color="auto"/>
      </w:divBdr>
    </w:div>
    <w:div w:id="300890044">
      <w:bodyDiv w:val="1"/>
      <w:marLeft w:val="0"/>
      <w:marRight w:val="0"/>
      <w:marTop w:val="0"/>
      <w:marBottom w:val="0"/>
      <w:divBdr>
        <w:top w:val="none" w:sz="0" w:space="0" w:color="auto"/>
        <w:left w:val="none" w:sz="0" w:space="0" w:color="auto"/>
        <w:bottom w:val="none" w:sz="0" w:space="0" w:color="auto"/>
        <w:right w:val="none" w:sz="0" w:space="0" w:color="auto"/>
      </w:divBdr>
    </w:div>
    <w:div w:id="362287111">
      <w:bodyDiv w:val="1"/>
      <w:marLeft w:val="0"/>
      <w:marRight w:val="0"/>
      <w:marTop w:val="0"/>
      <w:marBottom w:val="0"/>
      <w:divBdr>
        <w:top w:val="none" w:sz="0" w:space="0" w:color="auto"/>
        <w:left w:val="none" w:sz="0" w:space="0" w:color="auto"/>
        <w:bottom w:val="none" w:sz="0" w:space="0" w:color="auto"/>
        <w:right w:val="none" w:sz="0" w:space="0" w:color="auto"/>
      </w:divBdr>
    </w:div>
    <w:div w:id="364596430">
      <w:bodyDiv w:val="1"/>
      <w:marLeft w:val="0"/>
      <w:marRight w:val="0"/>
      <w:marTop w:val="0"/>
      <w:marBottom w:val="0"/>
      <w:divBdr>
        <w:top w:val="none" w:sz="0" w:space="0" w:color="auto"/>
        <w:left w:val="none" w:sz="0" w:space="0" w:color="auto"/>
        <w:bottom w:val="none" w:sz="0" w:space="0" w:color="auto"/>
        <w:right w:val="none" w:sz="0" w:space="0" w:color="auto"/>
      </w:divBdr>
    </w:div>
    <w:div w:id="1156409423">
      <w:bodyDiv w:val="1"/>
      <w:marLeft w:val="0"/>
      <w:marRight w:val="0"/>
      <w:marTop w:val="0"/>
      <w:marBottom w:val="0"/>
      <w:divBdr>
        <w:top w:val="none" w:sz="0" w:space="0" w:color="auto"/>
        <w:left w:val="none" w:sz="0" w:space="0" w:color="auto"/>
        <w:bottom w:val="none" w:sz="0" w:space="0" w:color="auto"/>
        <w:right w:val="none" w:sz="0" w:space="0" w:color="auto"/>
      </w:divBdr>
    </w:div>
    <w:div w:id="1346782778">
      <w:bodyDiv w:val="1"/>
      <w:marLeft w:val="0"/>
      <w:marRight w:val="0"/>
      <w:marTop w:val="0"/>
      <w:marBottom w:val="0"/>
      <w:divBdr>
        <w:top w:val="none" w:sz="0" w:space="0" w:color="auto"/>
        <w:left w:val="none" w:sz="0" w:space="0" w:color="auto"/>
        <w:bottom w:val="none" w:sz="0" w:space="0" w:color="auto"/>
        <w:right w:val="none" w:sz="0" w:space="0" w:color="auto"/>
      </w:divBdr>
    </w:div>
    <w:div w:id="1762991546">
      <w:bodyDiv w:val="1"/>
      <w:marLeft w:val="0"/>
      <w:marRight w:val="0"/>
      <w:marTop w:val="0"/>
      <w:marBottom w:val="0"/>
      <w:divBdr>
        <w:top w:val="none" w:sz="0" w:space="0" w:color="auto"/>
        <w:left w:val="none" w:sz="0" w:space="0" w:color="auto"/>
        <w:bottom w:val="none" w:sz="0" w:space="0" w:color="auto"/>
        <w:right w:val="none" w:sz="0" w:space="0" w:color="auto"/>
      </w:divBdr>
    </w:div>
    <w:div w:id="1771316315">
      <w:bodyDiv w:val="1"/>
      <w:marLeft w:val="0"/>
      <w:marRight w:val="0"/>
      <w:marTop w:val="0"/>
      <w:marBottom w:val="0"/>
      <w:divBdr>
        <w:top w:val="none" w:sz="0" w:space="0" w:color="auto"/>
        <w:left w:val="none" w:sz="0" w:space="0" w:color="auto"/>
        <w:bottom w:val="none" w:sz="0" w:space="0" w:color="auto"/>
        <w:right w:val="none" w:sz="0" w:space="0" w:color="auto"/>
      </w:divBdr>
    </w:div>
    <w:div w:id="1777673359">
      <w:bodyDiv w:val="1"/>
      <w:marLeft w:val="0"/>
      <w:marRight w:val="0"/>
      <w:marTop w:val="0"/>
      <w:marBottom w:val="0"/>
      <w:divBdr>
        <w:top w:val="none" w:sz="0" w:space="0" w:color="auto"/>
        <w:left w:val="none" w:sz="0" w:space="0" w:color="auto"/>
        <w:bottom w:val="none" w:sz="0" w:space="0" w:color="auto"/>
        <w:right w:val="none" w:sz="0" w:space="0" w:color="auto"/>
      </w:divBdr>
    </w:div>
    <w:div w:id="1816948686">
      <w:bodyDiv w:val="1"/>
      <w:marLeft w:val="0"/>
      <w:marRight w:val="0"/>
      <w:marTop w:val="0"/>
      <w:marBottom w:val="0"/>
      <w:divBdr>
        <w:top w:val="none" w:sz="0" w:space="0" w:color="auto"/>
        <w:left w:val="none" w:sz="0" w:space="0" w:color="auto"/>
        <w:bottom w:val="none" w:sz="0" w:space="0" w:color="auto"/>
        <w:right w:val="none" w:sz="0" w:space="0" w:color="auto"/>
      </w:divBdr>
      <w:divsChild>
        <w:div w:id="74615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F4B807E605EC4F9B7A665F498D304C" ma:contentTypeVersion="11" ma:contentTypeDescription="Create a new document." ma:contentTypeScope="" ma:versionID="4dd3247eea4165cf73717d83599d33fd">
  <xsd:schema xmlns:xsd="http://www.w3.org/2001/XMLSchema" xmlns:xs="http://www.w3.org/2001/XMLSchema" xmlns:p="http://schemas.microsoft.com/office/2006/metadata/properties" xmlns:ns2="431d037e-c4f6-4bd8-8977-2f9ebe953c23" xmlns:ns3="071b5f3b-0d37-4ff1-b418-515a2d5f3de8" targetNamespace="http://schemas.microsoft.com/office/2006/metadata/properties" ma:root="true" ma:fieldsID="1a95c90135c229a530436a601e2956da" ns2:_="" ns3:_="">
    <xsd:import namespace="431d037e-c4f6-4bd8-8977-2f9ebe953c23"/>
    <xsd:import namespace="071b5f3b-0d37-4ff1-b418-515a2d5f3de8"/>
    <xsd:element name="properties">
      <xsd:complexType>
        <xsd:sequence>
          <xsd:element name="documentManagement">
            <xsd:complexType>
              <xsd:all>
                <xsd:element ref="ns2:DocumentID" minOccurs="0"/>
                <xsd:element ref="ns3:Document_x0020_Type"/>
                <xsd:element ref="ns3:Document_x0020_Owner"/>
                <xsd:element ref="ns2:Area"/>
                <xsd:element ref="ns2:Last_x0020_Update"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d037e-c4f6-4bd8-8977-2f9ebe953c23" elementFormDefault="qualified">
    <xsd:import namespace="http://schemas.microsoft.com/office/2006/documentManagement/types"/>
    <xsd:import namespace="http://schemas.microsoft.com/office/infopath/2007/PartnerControls"/>
    <xsd:element name="DocumentID" ma:index="1" nillable="true" ma:displayName="Document ID" ma:internalName="DocumentID">
      <xsd:simpleType>
        <xsd:restriction base="dms:Text">
          <xsd:maxLength value="255"/>
        </xsd:restriction>
      </xsd:simpleType>
    </xsd:element>
    <xsd:element name="Area" ma:index="4" ma:displayName="Area" ma:default=" " ma:format="Dropdown" ma:internalName="Area">
      <xsd:simpleType>
        <xsd:restriction base="dms:Choice">
          <xsd:enumeration value=" "/>
          <xsd:enumeration value="Celopodnikové"/>
          <xsd:enumeration value="Distribuce"/>
          <xsd:enumeration value="Finance"/>
          <xsd:enumeration value="IT"/>
          <xsd:enumeration value="Marketing"/>
          <xsd:enumeration value="Nákup"/>
          <xsd:enumeration value="Obchod"/>
          <xsd:enumeration value="Výroba"/>
          <xsd:enumeration value="Pracovní poměr"/>
          <xsd:enumeration value="Sales Operations - Telesales"/>
          <xsd:enumeration value="Sales Operations - Technical services"/>
          <xsd:enumeration value="Sales Operations - POSM"/>
          <xsd:enumeration value="Sales Operations - Custumer Admin. Services"/>
          <xsd:enumeration value="Lidské zdroje"/>
          <xsd:enumeration value="Komunikace a vztahy s veřejností"/>
        </xsd:restriction>
      </xsd:simpleType>
    </xsd:element>
    <xsd:element name="Last_x0020_Update" ma:index="5" nillable="true" ma:displayName="Review Date" ma:default="[today]" ma:format="DateOnly" ma:internalName="Last_x0020_Update">
      <xsd:simpleType>
        <xsd:restriction base="dms:DateTime"/>
      </xsd:simpleType>
    </xsd:element>
    <xsd:element name="Archived" ma:index="6"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1b5f3b-0d37-4ff1-b418-515a2d5f3de8" elementFormDefault="qualified">
    <xsd:import namespace="http://schemas.microsoft.com/office/2006/documentManagement/types"/>
    <xsd:import namespace="http://schemas.microsoft.com/office/infopath/2007/PartnerControls"/>
    <xsd:element name="Document_x0020_Type" ma:index="2" ma:displayName="Document Type" ma:format="Dropdown" ma:internalName="Document_x0020_Type">
      <xsd:simpleType>
        <xsd:restriction base="dms:Choice">
          <xsd:enumeration value="Metodický pokyn / Methodical suggestion"/>
          <xsd:enumeration value="Příručka / Manual"/>
          <xsd:enumeration value="Rozhodnutí / Decision"/>
          <xsd:enumeration value="Směrnice / Policy"/>
          <xsd:enumeration value="Pracovní postup / Procedure"/>
          <xsd:enumeration value="Zoznam / Register"/>
          <xsd:enumeration value="Řád / Rules"/>
          <xsd:enumeration value="Formulář / Form"/>
          <xsd:enumeration value="Ostatní / Others"/>
        </xsd:restriction>
      </xsd:simpleType>
    </xsd:element>
    <xsd:element name="Document_x0020_Owner" ma:index="3" ma:displayName="Document Owner" ma:list="UserInfo" ma:SearchPeopleOnly="false"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rchived xmlns="431d037e-c4f6-4bd8-8977-2f9ebe953c23">false</Archived>
    <Document_x0020_Type xmlns="071b5f3b-0d37-4ff1-b418-515a2d5f3de8">Ostatní / Others</Document_x0020_Type>
    <Area xmlns="431d037e-c4f6-4bd8-8977-2f9ebe953c23">Celopodnikové</Area>
    <Document_x0020_Owner xmlns="071b5f3b-0d37-4ff1-b418-515a2d5f3de8">
      <UserInfo>
        <DisplayName>Ilona Dubova</DisplayName>
        <AccountId>108</AccountId>
        <AccountType/>
      </UserInfo>
    </Document_x0020_Owner>
    <Last_x0020_Update xmlns="431d037e-c4f6-4bd8-8977-2f9ebe953c23">2017-07-31T22:00:00+00:00</Last_x0020_Update>
    <DocumentID xmlns="431d037e-c4f6-4bd8-8977-2f9ebe953c23">P-08-SM-G-01</DocumentID>
  </documentManagement>
</p:properties>
</file>

<file path=customXml/itemProps1.xml><?xml version="1.0" encoding="utf-8"?>
<ds:datastoreItem xmlns:ds="http://schemas.openxmlformats.org/officeDocument/2006/customXml" ds:itemID="{7C1B4387-11C6-4B39-9ACF-27A154BB2445}">
  <ds:schemaRefs>
    <ds:schemaRef ds:uri="http://schemas.openxmlformats.org/officeDocument/2006/bibliography"/>
  </ds:schemaRefs>
</ds:datastoreItem>
</file>

<file path=customXml/itemProps2.xml><?xml version="1.0" encoding="utf-8"?>
<ds:datastoreItem xmlns:ds="http://schemas.openxmlformats.org/officeDocument/2006/customXml" ds:itemID="{0A6F8D5D-DA51-4043-8DEA-690963E91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d037e-c4f6-4bd8-8977-2f9ebe953c23"/>
    <ds:schemaRef ds:uri="071b5f3b-0d37-4ff1-b418-515a2d5f3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5ADC0-AC25-4D47-BE0A-147FE652AD87}">
  <ds:schemaRefs>
    <ds:schemaRef ds:uri="http://schemas.microsoft.com/sharepoint/v3/contenttype/forms"/>
  </ds:schemaRefs>
</ds:datastoreItem>
</file>

<file path=customXml/itemProps4.xml><?xml version="1.0" encoding="utf-8"?>
<ds:datastoreItem xmlns:ds="http://schemas.openxmlformats.org/officeDocument/2006/customXml" ds:itemID="{FC419AC5-17BF-4829-B62B-1C2CFE5B056F}">
  <ds:schemaRefs>
    <ds:schemaRef ds:uri="http://schemas.microsoft.com/office/2006/metadata/longProperties"/>
  </ds:schemaRefs>
</ds:datastoreItem>
</file>

<file path=customXml/itemProps5.xml><?xml version="1.0" encoding="utf-8"?>
<ds:datastoreItem xmlns:ds="http://schemas.openxmlformats.org/officeDocument/2006/customXml" ds:itemID="{93B5C2FD-4CEB-4AA7-85F5-29E9950C4884}">
  <ds:schemaRefs>
    <ds:schemaRef ds:uri="http://schemas.microsoft.com/office/2006/metadata/properties"/>
    <ds:schemaRef ds:uri="http://schemas.microsoft.com/office/infopath/2007/PartnerControls"/>
    <ds:schemaRef ds:uri="431d037e-c4f6-4bd8-8977-2f9ebe953c23"/>
    <ds:schemaRef ds:uri="071b5f3b-0d37-4ff1-b418-515a2d5f3d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2826</Words>
  <Characters>16677</Characters>
  <Application>Microsoft Office Word</Application>
  <DocSecurity>0</DocSecurity>
  <Lines>138</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Postupy účtování časového  rozlišení nákladů a výnosů</vt:lpstr>
      <vt:lpstr>Postupy účtování časového  rozlišení nákladů a výnosů</vt:lpstr>
    </vt:vector>
  </TitlesOfParts>
  <Company>Plzeňský Prazdroj, a.s.</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Postupy účtování časového  rozlišení nákladů a výnosů</dc:title>
  <dc:creator>Černá Jana</dc:creator>
  <cp:lastModifiedBy>Legal Services</cp:lastModifiedBy>
  <cp:revision>1</cp:revision>
  <cp:lastPrinted>2017-06-02T03:48:00Z</cp:lastPrinted>
  <dcterms:created xsi:type="dcterms:W3CDTF">2021-05-10T12:34:00Z</dcterms:created>
  <dcterms:modified xsi:type="dcterms:W3CDTF">2021-05-10T12:34:00Z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Tagging.ClassificationMark.P00">
    <vt:lpwstr>&lt;ClassificationMark xmlns:xsi="http://www.w3.org/2001/XMLSchema-instance" xmlns:xsd="http://www.w3.org/2001/XMLSchema" margin="NaN" class="C2" owner="Černá Jana" position="TopRight" marginX="0" marginY="0" classifiedOn="2011-09-09T00:52:47.0237675+02</vt:lpwstr>
  </property>
  <property fmtid="{D5CDD505-2E9C-101B-9397-08002B2CF9AE}" pid="3" name="Cleverlance.DocumentTagging.ClassificationMark.P01">
    <vt:lpwstr>:00" showPrintedBy="true" showPrintDate="true" language="en" ApplicationVersion="Microsoft Word, 14.0" addinVersion="5.2.2.2" template="Black"&gt;&lt;history bulk="false" class="PP - Internal use only / Pouze pro interní účely" code="C2" user="Vladislava R</vt:lpwstr>
  </property>
  <property fmtid="{D5CDD505-2E9C-101B-9397-08002B2CF9AE}" pid="4" name="Cleverlance.DocumentTagging.ClassificationMark.P02">
    <vt:lpwstr>ihova" date="2011-09-09T00:56:30.3182246+02:00" note="" /&gt;&lt;recipients /&gt;&lt;documentOwners /&gt;&lt;/ClassificationMark&gt;</vt:lpwstr>
  </property>
  <property fmtid="{D5CDD505-2E9C-101B-9397-08002B2CF9AE}" pid="5" name="Cleverlance.DocumentTagging.ClassificationMark">
    <vt:lpwstr>￼PARTS:3</vt:lpwstr>
  </property>
  <property fmtid="{D5CDD505-2E9C-101B-9397-08002B2CF9AE}" pid="6" name="DocumentClasification">
    <vt:lpwstr>PP - Internal use only / Pouze pro interní účely</vt:lpwstr>
  </property>
  <property fmtid="{D5CDD505-2E9C-101B-9397-08002B2CF9AE}" pid="7" name="display_urn:schemas-microsoft-com:office:office#Editor">
    <vt:lpwstr>Vladislava Rihova</vt:lpwstr>
  </property>
  <property fmtid="{D5CDD505-2E9C-101B-9397-08002B2CF9AE}" pid="8" name="display_urn:schemas-microsoft-com:office:office#Author">
    <vt:lpwstr>Vladislava Rihova</vt:lpwstr>
  </property>
  <property fmtid="{D5CDD505-2E9C-101B-9397-08002B2CF9AE}" pid="9" name="display_urn:schemas-microsoft-com:office:office#Document_x0020_Owner">
    <vt:lpwstr>Ilona Dubova</vt:lpwstr>
  </property>
  <property fmtid="{D5CDD505-2E9C-101B-9397-08002B2CF9AE}" pid="10" name="ContentTypeId">
    <vt:lpwstr>0x0101004DF4B807E605EC4F9B7A665F498D304C</vt:lpwstr>
  </property>
  <property fmtid="{D5CDD505-2E9C-101B-9397-08002B2CF9AE}" pid="11" name="Order">
    <vt:r8>6489700</vt:r8>
  </property>
  <property fmtid="{D5CDD505-2E9C-101B-9397-08002B2CF9AE}" pid="12" name="MSIP_Label_b902d893-e969-45ad-97c1-6b351819e922_Enabled">
    <vt:lpwstr>true</vt:lpwstr>
  </property>
  <property fmtid="{D5CDD505-2E9C-101B-9397-08002B2CF9AE}" pid="13" name="MSIP_Label_b902d893-e969-45ad-97c1-6b351819e922_SetDate">
    <vt:lpwstr>2021-05-10T12:33:49Z</vt:lpwstr>
  </property>
  <property fmtid="{D5CDD505-2E9C-101B-9397-08002B2CF9AE}" pid="14" name="MSIP_Label_b902d893-e969-45ad-97c1-6b351819e922_Method">
    <vt:lpwstr>Standard</vt:lpwstr>
  </property>
  <property fmtid="{D5CDD505-2E9C-101B-9397-08002B2CF9AE}" pid="15" name="MSIP_Label_b902d893-e969-45ad-97c1-6b351819e922_Name">
    <vt:lpwstr>L002S002</vt:lpwstr>
  </property>
  <property fmtid="{D5CDD505-2E9C-101B-9397-08002B2CF9AE}" pid="16" name="MSIP_Label_b902d893-e969-45ad-97c1-6b351819e922_SiteId">
    <vt:lpwstr>7ef011f8-898a-4d01-8232-9087b2c2abaf</vt:lpwstr>
  </property>
  <property fmtid="{D5CDD505-2E9C-101B-9397-08002B2CF9AE}" pid="17" name="MSIP_Label_b902d893-e969-45ad-97c1-6b351819e922_ActionId">
    <vt:lpwstr>e46ce4fe-1c2e-4dc1-93d6-57e4beb88676</vt:lpwstr>
  </property>
  <property fmtid="{D5CDD505-2E9C-101B-9397-08002B2CF9AE}" pid="18" name="MSIP_Label_b902d893-e969-45ad-97c1-6b351819e922_ContentBits">
    <vt:lpwstr>1</vt:lpwstr>
  </property>
</Properties>
</file>